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94262" w14:textId="77777777" w:rsidR="00826292" w:rsidRDefault="005D0E60">
      <w:pPr>
        <w:jc w:val="center"/>
        <w:rPr>
          <w:b/>
          <w:sz w:val="24"/>
          <w:szCs w:val="24"/>
        </w:rPr>
      </w:pPr>
      <w:r>
        <w:rPr>
          <w:b/>
          <w:sz w:val="24"/>
          <w:szCs w:val="24"/>
        </w:rPr>
        <w:t>Smart Metering Implementation Programme</w:t>
      </w:r>
    </w:p>
    <w:p w14:paraId="4C74914D" w14:textId="77777777" w:rsidR="00826292" w:rsidRDefault="00826292">
      <w:pPr>
        <w:pStyle w:val="Narrow"/>
      </w:pPr>
    </w:p>
    <w:p w14:paraId="2EF71FCC" w14:textId="77777777" w:rsidR="00826292" w:rsidRDefault="005D0E60">
      <w:pPr>
        <w:pStyle w:val="NoSpacing"/>
        <w:jc w:val="center"/>
        <w:rPr>
          <w:rFonts w:cs="Arial"/>
          <w:sz w:val="32"/>
          <w:szCs w:val="24"/>
        </w:rPr>
      </w:pPr>
      <w:r>
        <w:rPr>
          <w:rFonts w:cs="Arial"/>
          <w:sz w:val="32"/>
          <w:szCs w:val="24"/>
        </w:rPr>
        <w:t>Technical Specification Change Resolution Proposal (CRP)</w:t>
      </w:r>
    </w:p>
    <w:p w14:paraId="598BB35E" w14:textId="77777777" w:rsidR="00826292" w:rsidRDefault="00826292">
      <w:pPr>
        <w:pStyle w:val="Narrow"/>
      </w:pPr>
    </w:p>
    <w:p w14:paraId="5F6D0A51" w14:textId="3A2B66CB" w:rsidR="00826292" w:rsidRDefault="005D0E60" w:rsidP="00382FE4">
      <w:pPr>
        <w:ind w:left="57" w:right="57"/>
        <w:rPr>
          <w:vertAlign w:val="superscript"/>
        </w:rPr>
      </w:pPr>
      <w:r>
        <w:rPr>
          <w:noProof/>
        </w:rPr>
        <mc:AlternateContent>
          <mc:Choice Requires="wps">
            <w:drawing>
              <wp:anchor distT="0" distB="0" distL="0" distR="0" simplePos="0" relativeHeight="10" behindDoc="1" locked="0" layoutInCell="0" allowOverlap="1" wp14:anchorId="6637F478" wp14:editId="64F855F9">
                <wp:simplePos x="0" y="0"/>
                <wp:positionH relativeFrom="margin">
                  <wp:align>left</wp:align>
                </wp:positionH>
                <wp:positionV relativeFrom="paragraph">
                  <wp:posOffset>43543</wp:posOffset>
                </wp:positionV>
                <wp:extent cx="5830760" cy="602640"/>
                <wp:effectExtent l="0" t="0" r="17780" b="26035"/>
                <wp:wrapNone/>
                <wp:docPr id="1" name="Text Box 1"/>
                <wp:cNvGraphicFramePr/>
                <a:graphic xmlns:a="http://schemas.openxmlformats.org/drawingml/2006/main">
                  <a:graphicData uri="http://schemas.microsoft.com/office/word/2010/wordprocessingShape">
                    <wps:wsp>
                      <wps:cNvSpPr/>
                      <wps:spPr>
                        <a:xfrm>
                          <a:off x="0" y="0"/>
                          <a:ext cx="5830760" cy="60264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2698316" w14:textId="77777777" w:rsidR="00826292" w:rsidRDefault="00826292">
                            <w:pPr>
                              <w:pStyle w:val="FrameContents"/>
                              <w:rPr>
                                <w:color w:val="000000"/>
                              </w:rPr>
                            </w:pPr>
                          </w:p>
                        </w:txbxContent>
                      </wps:txbx>
                      <wps:bodyPr wrap="square">
                        <a:noAutofit/>
                      </wps:bodyPr>
                    </wps:wsp>
                  </a:graphicData>
                </a:graphic>
                <wp14:sizeRelH relativeFrom="margin">
                  <wp14:pctWidth>0</wp14:pctWidth>
                </wp14:sizeRelH>
              </wp:anchor>
            </w:drawing>
          </mc:Choice>
          <mc:Fallback>
            <w:pict>
              <v:rect w14:anchorId="6637F478" id="Text Box 1" o:spid="_x0000_s1026" style="position:absolute;left:0;text-align:left;margin-left:0;margin-top:3.45pt;width:459.1pt;height:47.45pt;z-index:-503316470;visibility:visible;mso-wrap-style:square;mso-width-percent:0;mso-wrap-distance-left:0;mso-wrap-distance-top:0;mso-wrap-distance-right:0;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sAl2wEAADAEAAAOAAAAZHJzL2Uyb0RvYy54bWysU8Fu2zAMvQ/YPwi6L3ayLguMOMWworsM&#10;W7FuH6DIUixAEjVKiZ2/H6VkTrv20mI+yJTE90g+Uuvr0Vl2UBgN+JbPZzVnykvojN+1/NfP23cr&#10;zmISvhMWvGr5UUV+vXn7Zj2ERi2gB9spZETiYzOElvcphaaqouyVE3EGQXm61IBOJNrirupQDMTu&#10;bLWo62U1AHYBQaoY6fTmdMk3hV9rJdN3raNKzLaccktlxbJu81pt1qLZoQi9kec0xCuycMJ4CjpR&#10;3Ygk2B7NEypnJEIEnWYSXAVaG6lKDVTNvP6nmvteBFVqIXFimGSK/49WfjvchzskGYYQm0hmrmLU&#10;6PKf8mNjEes4iaXGxCQdfli9rz8uSVNJd8t6sbwqalYXdMCYvihwLBstR2pG0UgcvsZEEcn1r0sO&#10;FsGa7tZYWzZ5ANRni+wgqHU2zXOrCPHIy3o2UPCrVV2IH91F3G0nfF2+5ygQ9r47UVtPES4yFCsd&#10;rcr5WP9DaWa6osYzCQoplZ+SLN7ZS1M5LwGe/TNUlel9CXhClMjg0wR2xgOW6h8Ulc00bsdz77fQ&#10;He+QDfQWWh5/7wXm0RONh0/7BNqUjmXMyfEsFY1lacv5CeW5f7gvXpeHvvkDAAD//wMAUEsDBBQA&#10;BgAIAAAAIQCwmKJJ3gAAAAYBAAAPAAAAZHJzL2Rvd25yZXYueG1sTI/NTsMwEITvSLyDtUhcELXT&#10;Q5WGOFVVgSrgAuFP3Nx4SSLidbDdNrw9ywmOoxnNfFOuJjeIA4bYe9KQzRQIpMbbnloNz083lzmI&#10;mAxZM3hCDd8YYVWdnpSmsP5Ij3ioUyu4hGJhNHQpjYWUsenQmTjzIxJ7Hz44k1iGVtpgjlzuBjlX&#10;aiGd6YkXOjPipsPms947HlnfP+TbF/V69/V+exG3fnP9Fmqtz8+m9RWIhFP6C8MvPqNDxUw7vycb&#10;xaCBjyQNiyUINpdZPgex45TKcpBVKf/jVz8AAAD//wMAUEsBAi0AFAAGAAgAAAAhALaDOJL+AAAA&#10;4QEAABMAAAAAAAAAAAAAAAAAAAAAAFtDb250ZW50X1R5cGVzXS54bWxQSwECLQAUAAYACAAAACEA&#10;OP0h/9YAAACUAQAACwAAAAAAAAAAAAAAAAAvAQAAX3JlbHMvLnJlbHNQSwECLQAUAAYACAAAACEA&#10;WBrAJdsBAAAwBAAADgAAAAAAAAAAAAAAAAAuAgAAZHJzL2Uyb0RvYy54bWxQSwECLQAUAAYACAAA&#10;ACEAsJiiSd4AAAAGAQAADwAAAAAAAAAAAAAAAAA1BAAAZHJzL2Rvd25yZXYueG1sUEsFBgAAAAAE&#10;AAQA8wAAAEAFAAAAAA==&#10;" o:allowincell="f" fillcolor="white [3201]" strokeweight=".18mm">
                <v:stroke joinstyle="round"/>
                <v:textbox>
                  <w:txbxContent>
                    <w:p w14:paraId="62698316" w14:textId="77777777" w:rsidR="00826292" w:rsidRDefault="00826292">
                      <w:pPr>
                        <w:pStyle w:val="FrameContents"/>
                        <w:rPr>
                          <w:color w:val="000000"/>
                        </w:rPr>
                      </w:pPr>
                    </w:p>
                  </w:txbxContent>
                </v:textbox>
                <w10:wrap anchorx="margin"/>
              </v:rect>
            </w:pict>
          </mc:Fallback>
        </mc:AlternateContent>
      </w:r>
      <w:r>
        <w:t xml:space="preserve">This note provides BEIS’s interim position on an issue identified with the current version of the Technical Specifications or their associated content.  Please note this position should be considered as Draft until ratified through TBDG. </w:t>
      </w:r>
    </w:p>
    <w:p w14:paraId="7531B837" w14:textId="77777777" w:rsidR="00826292" w:rsidRDefault="00826292">
      <w:pPr>
        <w:pStyle w:val="Narrow"/>
      </w:pPr>
    </w:p>
    <w:tbl>
      <w:tblPr>
        <w:tblStyle w:val="TableGrid"/>
        <w:tblW w:w="9180" w:type="dxa"/>
        <w:tblLayout w:type="fixed"/>
        <w:tblCellMar>
          <w:top w:w="85" w:type="dxa"/>
          <w:bottom w:w="85" w:type="dxa"/>
        </w:tblCellMar>
        <w:tblLook w:val="04A0" w:firstRow="1" w:lastRow="0" w:firstColumn="1" w:lastColumn="0" w:noHBand="0" w:noVBand="1"/>
      </w:tblPr>
      <w:tblGrid>
        <w:gridCol w:w="3936"/>
        <w:gridCol w:w="5244"/>
      </w:tblGrid>
      <w:tr w:rsidR="00826292" w14:paraId="23E5AB52" w14:textId="77777777">
        <w:tc>
          <w:tcPr>
            <w:tcW w:w="3936" w:type="dxa"/>
          </w:tcPr>
          <w:p w14:paraId="0F74FA50" w14:textId="77777777" w:rsidR="00826292" w:rsidRDefault="005D0E60">
            <w:pPr>
              <w:pStyle w:val="NoSpacing"/>
              <w:rPr>
                <w:b/>
              </w:rPr>
            </w:pPr>
            <w:r>
              <w:rPr>
                <w:rFonts w:eastAsia="Calibri"/>
                <w:b/>
              </w:rPr>
              <w:t>Date</w:t>
            </w:r>
          </w:p>
        </w:tc>
        <w:tc>
          <w:tcPr>
            <w:tcW w:w="5243" w:type="dxa"/>
          </w:tcPr>
          <w:p w14:paraId="15B38AEF" w14:textId="7DB5C3DD" w:rsidR="00826292" w:rsidRDefault="00961B9F">
            <w:pPr>
              <w:pStyle w:val="NoSpacing"/>
              <w:rPr>
                <w:iCs/>
              </w:rPr>
            </w:pPr>
            <w:r w:rsidRPr="00961B9F">
              <w:rPr>
                <w:rFonts w:eastAsia="Calibri"/>
                <w:iCs/>
                <w:highlight w:val="cyan"/>
              </w:rPr>
              <w:t>10</w:t>
            </w:r>
            <w:r w:rsidR="00325BCB" w:rsidRPr="00961B9F">
              <w:rPr>
                <w:rFonts w:eastAsia="Calibri"/>
                <w:iCs/>
                <w:highlight w:val="cyan"/>
              </w:rPr>
              <w:t xml:space="preserve"> February 2021</w:t>
            </w:r>
          </w:p>
        </w:tc>
      </w:tr>
      <w:tr w:rsidR="00826292" w14:paraId="7E05A0B0" w14:textId="77777777">
        <w:tc>
          <w:tcPr>
            <w:tcW w:w="3936" w:type="dxa"/>
          </w:tcPr>
          <w:p w14:paraId="3CEA40FB" w14:textId="77777777" w:rsidR="00826292" w:rsidRDefault="005D0E60">
            <w:pPr>
              <w:pStyle w:val="NoSpacing"/>
              <w:rPr>
                <w:b/>
              </w:rPr>
            </w:pPr>
            <w:r>
              <w:rPr>
                <w:rFonts w:eastAsia="Calibri"/>
                <w:b/>
              </w:rPr>
              <w:t>Issue Resolution Proposal</w:t>
            </w:r>
          </w:p>
        </w:tc>
        <w:tc>
          <w:tcPr>
            <w:tcW w:w="5243" w:type="dxa"/>
          </w:tcPr>
          <w:p w14:paraId="01CBAF02" w14:textId="77777777" w:rsidR="00826292" w:rsidRDefault="005D0E60">
            <w:pPr>
              <w:pStyle w:val="NoSpacing"/>
              <w:rPr>
                <w:rFonts w:eastAsia="Calibri"/>
              </w:rPr>
            </w:pPr>
            <w:r>
              <w:rPr>
                <w:rFonts w:eastAsia="Calibri"/>
              </w:rPr>
              <w:t>CRP630</w:t>
            </w:r>
          </w:p>
        </w:tc>
      </w:tr>
      <w:tr w:rsidR="00826292" w14:paraId="40437848" w14:textId="77777777">
        <w:tc>
          <w:tcPr>
            <w:tcW w:w="3936" w:type="dxa"/>
          </w:tcPr>
          <w:p w14:paraId="38F26C49" w14:textId="77777777" w:rsidR="00826292" w:rsidRDefault="005D0E60">
            <w:pPr>
              <w:pStyle w:val="NoSpacing"/>
              <w:rPr>
                <w:b/>
              </w:rPr>
            </w:pPr>
            <w:r>
              <w:rPr>
                <w:rFonts w:eastAsia="Calibri"/>
                <w:b/>
              </w:rPr>
              <w:t>Issues Log ID</w:t>
            </w:r>
          </w:p>
        </w:tc>
        <w:tc>
          <w:tcPr>
            <w:tcW w:w="5243" w:type="dxa"/>
          </w:tcPr>
          <w:p w14:paraId="47311019" w14:textId="77777777" w:rsidR="00826292" w:rsidRDefault="005D0E60">
            <w:pPr>
              <w:pStyle w:val="NoSpacing"/>
              <w:rPr>
                <w:rFonts w:eastAsia="Calibri"/>
              </w:rPr>
            </w:pPr>
            <w:r>
              <w:rPr>
                <w:rFonts w:eastAsia="Calibri"/>
              </w:rPr>
              <w:t>TS1328</w:t>
            </w:r>
          </w:p>
        </w:tc>
      </w:tr>
      <w:tr w:rsidR="00826292" w14:paraId="7016E1ED" w14:textId="77777777">
        <w:tc>
          <w:tcPr>
            <w:tcW w:w="3936" w:type="dxa"/>
          </w:tcPr>
          <w:p w14:paraId="776A3CE4" w14:textId="77777777" w:rsidR="00826292" w:rsidRDefault="005D0E60">
            <w:pPr>
              <w:pStyle w:val="NoSpacing"/>
              <w:rPr>
                <w:b/>
              </w:rPr>
            </w:pPr>
            <w:r>
              <w:rPr>
                <w:rFonts w:eastAsia="Calibri"/>
                <w:b/>
              </w:rPr>
              <w:t>Issue Title</w:t>
            </w:r>
          </w:p>
        </w:tc>
        <w:tc>
          <w:tcPr>
            <w:tcW w:w="5243" w:type="dxa"/>
          </w:tcPr>
          <w:p w14:paraId="41AEF5C2" w14:textId="77777777" w:rsidR="00826292" w:rsidRDefault="005D0E60">
            <w:pPr>
              <w:pStyle w:val="NoSpacing"/>
              <w:rPr>
                <w:i/>
              </w:rPr>
            </w:pPr>
            <w:r>
              <w:rPr>
                <w:rFonts w:eastAsia="Calibri"/>
              </w:rPr>
              <w:t>Provision for additional HAN data items for APC</w:t>
            </w:r>
          </w:p>
        </w:tc>
      </w:tr>
      <w:tr w:rsidR="00826292" w14:paraId="6080471A" w14:textId="77777777">
        <w:tc>
          <w:tcPr>
            <w:tcW w:w="3936" w:type="dxa"/>
          </w:tcPr>
          <w:p w14:paraId="38E621C2" w14:textId="77777777" w:rsidR="00826292" w:rsidRDefault="005D0E60">
            <w:pPr>
              <w:pStyle w:val="NoSpacing"/>
              <w:rPr>
                <w:b/>
              </w:rPr>
            </w:pPr>
            <w:r>
              <w:rPr>
                <w:rFonts w:eastAsia="Calibri"/>
                <w:b/>
              </w:rPr>
              <w:t>Source</w:t>
            </w:r>
          </w:p>
        </w:tc>
        <w:tc>
          <w:tcPr>
            <w:tcW w:w="5243" w:type="dxa"/>
          </w:tcPr>
          <w:p w14:paraId="6FA9CF3D" w14:textId="77777777" w:rsidR="00826292" w:rsidRDefault="005D0E60">
            <w:pPr>
              <w:pStyle w:val="NoSpacing"/>
              <w:rPr>
                <w:iCs/>
              </w:rPr>
            </w:pPr>
            <w:r>
              <w:rPr>
                <w:rFonts w:eastAsia="Calibri"/>
                <w:iCs/>
              </w:rPr>
              <w:t>TSIRS</w:t>
            </w:r>
          </w:p>
        </w:tc>
      </w:tr>
      <w:tr w:rsidR="00826292" w14:paraId="6B737032" w14:textId="77777777">
        <w:trPr>
          <w:trHeight w:val="278"/>
        </w:trPr>
        <w:tc>
          <w:tcPr>
            <w:tcW w:w="3936" w:type="dxa"/>
          </w:tcPr>
          <w:p w14:paraId="343498AC" w14:textId="77777777" w:rsidR="00826292" w:rsidRDefault="005D0E60">
            <w:pPr>
              <w:pStyle w:val="NoSpacing"/>
              <w:rPr>
                <w:b/>
              </w:rPr>
            </w:pPr>
            <w:r>
              <w:rPr>
                <w:rFonts w:eastAsia="Calibri"/>
                <w:b/>
              </w:rPr>
              <w:t>Date Raised</w:t>
            </w:r>
          </w:p>
        </w:tc>
        <w:tc>
          <w:tcPr>
            <w:tcW w:w="5243" w:type="dxa"/>
          </w:tcPr>
          <w:p w14:paraId="60D1CB5C" w14:textId="77777777" w:rsidR="00826292" w:rsidRDefault="005D0E60">
            <w:pPr>
              <w:pStyle w:val="NoSpacing"/>
              <w:rPr>
                <w:iCs/>
              </w:rPr>
            </w:pPr>
            <w:r>
              <w:rPr>
                <w:rFonts w:eastAsia="Calibri"/>
                <w:iCs/>
              </w:rPr>
              <w:t>17 July 2020</w:t>
            </w:r>
          </w:p>
        </w:tc>
      </w:tr>
      <w:tr w:rsidR="00826292" w14:paraId="1ADDC4A0" w14:textId="77777777">
        <w:tc>
          <w:tcPr>
            <w:tcW w:w="3936" w:type="dxa"/>
          </w:tcPr>
          <w:p w14:paraId="46A41DF5" w14:textId="77777777" w:rsidR="00826292" w:rsidRDefault="005D0E60">
            <w:pPr>
              <w:pStyle w:val="NoSpacing"/>
              <w:rPr>
                <w:b/>
              </w:rPr>
            </w:pPr>
            <w:r>
              <w:rPr>
                <w:rFonts w:eastAsia="Calibri"/>
                <w:b/>
              </w:rPr>
              <w:t>Status</w:t>
            </w:r>
          </w:p>
        </w:tc>
        <w:tc>
          <w:tcPr>
            <w:tcW w:w="5243" w:type="dxa"/>
          </w:tcPr>
          <w:p w14:paraId="211E1A25" w14:textId="4BE98ED5" w:rsidR="00826292" w:rsidRDefault="005D0E60">
            <w:pPr>
              <w:pStyle w:val="NoSpacing"/>
              <w:rPr>
                <w:rFonts w:eastAsia="Calibri"/>
              </w:rPr>
            </w:pPr>
            <w:r w:rsidRPr="00961B9F">
              <w:rPr>
                <w:iCs/>
                <w:highlight w:val="cyan"/>
              </w:rPr>
              <w:t>Draft v0_</w:t>
            </w:r>
            <w:r w:rsidR="00961B9F" w:rsidRPr="00961B9F">
              <w:rPr>
                <w:iCs/>
                <w:highlight w:val="cyan"/>
              </w:rPr>
              <w:t>3</w:t>
            </w:r>
          </w:p>
        </w:tc>
      </w:tr>
      <w:tr w:rsidR="00826292" w14:paraId="47D0AD84" w14:textId="77777777">
        <w:tc>
          <w:tcPr>
            <w:tcW w:w="3936" w:type="dxa"/>
          </w:tcPr>
          <w:p w14:paraId="48CCF708" w14:textId="77777777" w:rsidR="00826292" w:rsidRDefault="005D0E60">
            <w:pPr>
              <w:pStyle w:val="NoSpacing"/>
              <w:rPr>
                <w:i/>
                <w:sz w:val="16"/>
                <w:szCs w:val="16"/>
              </w:rPr>
            </w:pPr>
            <w:r>
              <w:rPr>
                <w:rFonts w:eastAsia="Calibri"/>
                <w:b/>
              </w:rPr>
              <w:t>Documentation Reference</w:t>
            </w:r>
          </w:p>
        </w:tc>
        <w:tc>
          <w:tcPr>
            <w:tcW w:w="5243" w:type="dxa"/>
          </w:tcPr>
          <w:p w14:paraId="7A2DBDA0" w14:textId="1AD596B3" w:rsidR="00826292" w:rsidRDefault="005D0E60">
            <w:pPr>
              <w:pStyle w:val="NoSpacing"/>
              <w:rPr>
                <w:iCs/>
              </w:rPr>
            </w:pPr>
            <w:r>
              <w:rPr>
                <w:rFonts w:eastAsia="Calibri"/>
                <w:iCs/>
              </w:rPr>
              <w:t xml:space="preserve">SMETS2 </w:t>
            </w:r>
            <w:r w:rsidR="009534F2">
              <w:rPr>
                <w:rFonts w:eastAsia="Calibri"/>
                <w:iCs/>
              </w:rPr>
              <w:t xml:space="preserve">29 </w:t>
            </w:r>
            <w:r>
              <w:rPr>
                <w:rFonts w:eastAsia="Calibri"/>
                <w:iCs/>
              </w:rPr>
              <w:t>November 2020 and GBCS v4.0</w:t>
            </w:r>
          </w:p>
        </w:tc>
      </w:tr>
    </w:tbl>
    <w:p w14:paraId="4629EC14" w14:textId="2AA59843" w:rsidR="00642C65" w:rsidRPr="00642C65" w:rsidRDefault="00642C65">
      <w:pPr>
        <w:rPr>
          <w:bCs/>
          <w:sz w:val="24"/>
          <w:szCs w:val="24"/>
        </w:rPr>
      </w:pPr>
      <w:r w:rsidRPr="00642C65">
        <w:rPr>
          <w:bCs/>
          <w:sz w:val="24"/>
          <w:szCs w:val="24"/>
          <w:highlight w:val="yellow"/>
        </w:rPr>
        <w:t>Changes made to this CRP630 at v0_2</w:t>
      </w:r>
      <w:r w:rsidR="00961B9F">
        <w:rPr>
          <w:bCs/>
          <w:sz w:val="24"/>
          <w:szCs w:val="24"/>
          <w:highlight w:val="yellow"/>
        </w:rPr>
        <w:t xml:space="preserve"> </w:t>
      </w:r>
      <w:r w:rsidRPr="00642C65">
        <w:rPr>
          <w:bCs/>
          <w:sz w:val="24"/>
          <w:szCs w:val="24"/>
          <w:highlight w:val="yellow"/>
        </w:rPr>
        <w:t xml:space="preserve">are shown by the yellow </w:t>
      </w:r>
      <w:r w:rsidRPr="00961B9F">
        <w:rPr>
          <w:bCs/>
          <w:sz w:val="24"/>
          <w:szCs w:val="24"/>
          <w:highlight w:val="yellow"/>
        </w:rPr>
        <w:t>highlighting</w:t>
      </w:r>
      <w:r w:rsidR="00961B9F" w:rsidRPr="00961B9F">
        <w:rPr>
          <w:bCs/>
          <w:sz w:val="24"/>
          <w:szCs w:val="24"/>
          <w:highlight w:val="cyan"/>
        </w:rPr>
        <w:t xml:space="preserve"> and </w:t>
      </w:r>
      <w:proofErr w:type="gramStart"/>
      <w:r w:rsidR="00677953">
        <w:rPr>
          <w:bCs/>
          <w:sz w:val="24"/>
          <w:szCs w:val="24"/>
          <w:highlight w:val="cyan"/>
        </w:rPr>
        <w:t xml:space="preserve">at </w:t>
      </w:r>
      <w:r w:rsidR="00961B9F" w:rsidRPr="00961B9F">
        <w:rPr>
          <w:bCs/>
          <w:sz w:val="24"/>
          <w:szCs w:val="24"/>
          <w:highlight w:val="cyan"/>
        </w:rPr>
        <w:t xml:space="preserve"> v</w:t>
      </w:r>
      <w:proofErr w:type="gramEnd"/>
      <w:r w:rsidR="00961B9F" w:rsidRPr="00961B9F">
        <w:rPr>
          <w:bCs/>
          <w:sz w:val="24"/>
          <w:szCs w:val="24"/>
          <w:highlight w:val="cyan"/>
        </w:rPr>
        <w:t xml:space="preserve">0_3 </w:t>
      </w:r>
      <w:r w:rsidR="00677953">
        <w:rPr>
          <w:bCs/>
          <w:sz w:val="24"/>
          <w:szCs w:val="24"/>
          <w:highlight w:val="cyan"/>
        </w:rPr>
        <w:t xml:space="preserve">(page 6) </w:t>
      </w:r>
      <w:r w:rsidR="00961B9F" w:rsidRPr="00961B9F">
        <w:rPr>
          <w:bCs/>
          <w:sz w:val="24"/>
          <w:szCs w:val="24"/>
          <w:highlight w:val="cyan"/>
        </w:rPr>
        <w:t>with cyan highlight</w:t>
      </w:r>
      <w:r w:rsidRPr="00961B9F">
        <w:rPr>
          <w:bCs/>
          <w:sz w:val="24"/>
          <w:szCs w:val="24"/>
          <w:highlight w:val="cyan"/>
        </w:rPr>
        <w:t>.</w:t>
      </w:r>
      <w:r w:rsidR="00961B9F">
        <w:rPr>
          <w:bCs/>
          <w:sz w:val="24"/>
          <w:szCs w:val="24"/>
        </w:rPr>
        <w:t xml:space="preserve">  </w:t>
      </w:r>
    </w:p>
    <w:p w14:paraId="2B9D8DAD" w14:textId="5FB1E1A2" w:rsidR="00826292" w:rsidRDefault="005D0E60">
      <w:pPr>
        <w:rPr>
          <w:b/>
          <w:sz w:val="24"/>
          <w:szCs w:val="24"/>
        </w:rPr>
      </w:pPr>
      <w:r>
        <w:rPr>
          <w:b/>
          <w:sz w:val="24"/>
          <w:szCs w:val="24"/>
        </w:rPr>
        <w:t>Description:</w:t>
      </w:r>
    </w:p>
    <w:p w14:paraId="5650EED4" w14:textId="77777777" w:rsidR="00826292" w:rsidRDefault="005D0E60">
      <w:pPr>
        <w:rPr>
          <w:bCs/>
        </w:rPr>
      </w:pPr>
      <w:r>
        <w:rPr>
          <w:bCs/>
        </w:rPr>
        <w:t>This change is intended to address the problem statement discussed at TSIRS meetings in the spring of 2020 and in the BEAMA paper [embedded at the table at the end of this CRP].  Concerning the current lack of the following information available to devices on the HAN:</w:t>
      </w:r>
    </w:p>
    <w:p w14:paraId="79E711B4" w14:textId="77777777" w:rsidR="00826292" w:rsidRDefault="005D0E60">
      <w:pPr>
        <w:rPr>
          <w:bCs/>
        </w:rPr>
      </w:pPr>
      <w:r>
        <w:rPr>
          <w:bCs/>
        </w:rPr>
        <w:t>•  The Auxiliary Controller Calendar is marked [INFO], meaning it is to be shared over the HAN. However, the ZigBee mechanism available to share such information, whilst being able to fully detail the ALCS / HCALCS calendar entries, cannot fully detail the Auxiliary Proportional Controller calendar entries, rendering the information effectively useless for many use-cases. Compressing the percentage scale down to a binary on/off will hide the entire range from 0% to 99% behind a single value of 0.</w:t>
      </w:r>
    </w:p>
    <w:p w14:paraId="309F2CAA" w14:textId="77777777" w:rsidR="00826292" w:rsidRDefault="005D0E60">
      <w:pPr>
        <w:rPr>
          <w:bCs/>
        </w:rPr>
      </w:pPr>
      <w:r>
        <w:rPr>
          <w:bCs/>
        </w:rPr>
        <w:t>•   Auxiliary Controller [n] State (which is mandated to include two integer values between 0 and 100 per APC[n], reflecting currently configured input and output levels) is not shared with HAN Devices currently.</w:t>
      </w:r>
    </w:p>
    <w:p w14:paraId="65813C6A" w14:textId="77777777" w:rsidR="00826292" w:rsidRDefault="005D0E60">
      <w:pPr>
        <w:rPr>
          <w:bCs/>
        </w:rPr>
      </w:pPr>
      <w:r>
        <w:rPr>
          <w:bCs/>
        </w:rPr>
        <w:t>•   Limit applied to the Auxiliary Controller</w:t>
      </w:r>
    </w:p>
    <w:p w14:paraId="29F7935D" w14:textId="77777777" w:rsidR="00826292" w:rsidRDefault="005D0E60">
      <w:pPr>
        <w:rPr>
          <w:bCs/>
        </w:rPr>
      </w:pPr>
      <w:r>
        <w:rPr>
          <w:bCs/>
        </w:rPr>
        <w:t>•   Override applied to the Auxiliary Controller</w:t>
      </w:r>
    </w:p>
    <w:p w14:paraId="19DD1CFF" w14:textId="77777777" w:rsidR="00826292" w:rsidRDefault="005D0E60">
      <w:pPr>
        <w:rPr>
          <w:bCs/>
        </w:rPr>
      </w:pPr>
      <w:r>
        <w:rPr>
          <w:bCs/>
        </w:rPr>
        <w:t>•   The use of the Boost button by the consumer</w:t>
      </w:r>
    </w:p>
    <w:p w14:paraId="52AE1DAE" w14:textId="77777777" w:rsidR="00826292" w:rsidRDefault="00826292">
      <w:pPr>
        <w:rPr>
          <w:b/>
          <w:sz w:val="24"/>
          <w:szCs w:val="24"/>
        </w:rPr>
      </w:pPr>
    </w:p>
    <w:p w14:paraId="7CB57B24" w14:textId="77777777" w:rsidR="00826292" w:rsidRDefault="005D0E60">
      <w:pPr>
        <w:rPr>
          <w:b/>
          <w:sz w:val="24"/>
          <w:szCs w:val="24"/>
        </w:rPr>
      </w:pPr>
      <w:r>
        <w:rPr>
          <w:b/>
          <w:sz w:val="24"/>
          <w:szCs w:val="24"/>
        </w:rPr>
        <w:t>Proposed Implementation:</w:t>
      </w:r>
    </w:p>
    <w:p w14:paraId="59421999" w14:textId="0402B666" w:rsidR="00826292" w:rsidRDefault="005D0E60">
      <w:r>
        <w:t xml:space="preserve">The changes are to </w:t>
      </w:r>
      <w:r>
        <w:rPr>
          <w:iCs/>
        </w:rPr>
        <w:t xml:space="preserve">SMETS2 </w:t>
      </w:r>
      <w:r w:rsidR="00173D33" w:rsidRPr="00173D33">
        <w:rPr>
          <w:iCs/>
          <w:highlight w:val="yellow"/>
        </w:rPr>
        <w:t>29</w:t>
      </w:r>
      <w:r w:rsidR="00173D33">
        <w:rPr>
          <w:iCs/>
        </w:rPr>
        <w:t xml:space="preserve"> </w:t>
      </w:r>
      <w:r>
        <w:rPr>
          <w:iCs/>
        </w:rPr>
        <w:t>November 2020 and GBCS v4.0 and cannot be applied to earlier versions of either GBCS or SMETS2 because these changes only apply to APC or SAPC that were introduced at GBCS v4.0 and ESMETS v5.0 / SAPCTS v5.0.  They are as detailed in the ‘Required changes to Documentation’ section.</w:t>
      </w:r>
    </w:p>
    <w:p w14:paraId="57DCF6CB" w14:textId="77777777" w:rsidR="00826292" w:rsidRDefault="00826292">
      <w:pPr>
        <w:rPr>
          <w:b/>
          <w:sz w:val="24"/>
          <w:szCs w:val="24"/>
        </w:rPr>
      </w:pPr>
    </w:p>
    <w:p w14:paraId="52F4BF62" w14:textId="77777777" w:rsidR="00826292" w:rsidRDefault="005D0E60">
      <w:pPr>
        <w:rPr>
          <w:b/>
          <w:sz w:val="24"/>
          <w:szCs w:val="24"/>
        </w:rPr>
      </w:pPr>
      <w:r>
        <w:rPr>
          <w:b/>
          <w:sz w:val="24"/>
          <w:szCs w:val="24"/>
        </w:rPr>
        <w:t>Interoperability and / or Compatibility:</w:t>
      </w:r>
    </w:p>
    <w:p w14:paraId="125EF330" w14:textId="77777777" w:rsidR="00826292" w:rsidRDefault="005D0E60">
      <w:pPr>
        <w:rPr>
          <w:rFonts w:eastAsia="Times New Roman" w:cs="Arial"/>
          <w:color w:val="000000"/>
          <w:szCs w:val="24"/>
          <w:lang w:eastAsia="en-GB"/>
        </w:rPr>
      </w:pPr>
      <w:r>
        <w:rPr>
          <w:rFonts w:eastAsia="Times New Roman" w:cs="Arial"/>
          <w:color w:val="000000"/>
          <w:szCs w:val="24"/>
          <w:lang w:eastAsia="en-GB"/>
        </w:rPr>
        <w:lastRenderedPageBreak/>
        <w:t xml:space="preserve">These changes would apply to newly installed Devices only (since there are no installed ESME with APC or SAPC), and so there would be no change to already installed Devices.  Depending on when this CRP is implemented there may already be ESME with APC or SAPC installed that do not support this changed functionality. </w:t>
      </w:r>
    </w:p>
    <w:p w14:paraId="5FA43115" w14:textId="77777777" w:rsidR="00826292" w:rsidRDefault="005D0E60">
      <w:pPr>
        <w:rPr>
          <w:rFonts w:eastAsia="Times New Roman" w:cs="Arial"/>
          <w:color w:val="000000"/>
          <w:szCs w:val="24"/>
          <w:lang w:eastAsia="en-GB"/>
        </w:rPr>
      </w:pPr>
      <w:r>
        <w:rPr>
          <w:rFonts w:eastAsia="Times New Roman" w:cs="Arial"/>
          <w:color w:val="000000"/>
          <w:szCs w:val="24"/>
          <w:lang w:eastAsia="en-GB"/>
        </w:rPr>
        <w:t xml:space="preserve">The changes do not affect DCC Systems or User systems, nor do they require any changed interactions with them. </w:t>
      </w:r>
    </w:p>
    <w:p w14:paraId="38FBD8C2" w14:textId="77777777" w:rsidR="00826292" w:rsidRDefault="005D0E60">
      <w:pPr>
        <w:rPr>
          <w:rFonts w:eastAsia="Times New Roman" w:cs="Arial"/>
          <w:color w:val="000000"/>
          <w:szCs w:val="24"/>
          <w:lang w:eastAsia="en-GB"/>
        </w:rPr>
      </w:pPr>
      <w:r>
        <w:rPr>
          <w:rFonts w:eastAsia="Times New Roman" w:cs="Arial"/>
          <w:color w:val="000000"/>
          <w:szCs w:val="24"/>
          <w:lang w:eastAsia="en-GB"/>
        </w:rPr>
        <w:t>However, Suppliers may wish to note:</w:t>
      </w:r>
    </w:p>
    <w:p w14:paraId="30B7540F" w14:textId="77777777" w:rsidR="00826292" w:rsidRDefault="005D0E60">
      <w:pPr>
        <w:pStyle w:val="ListParagraph"/>
        <w:numPr>
          <w:ilvl w:val="0"/>
          <w:numId w:val="2"/>
        </w:numPr>
        <w:rPr>
          <w:rFonts w:eastAsia="Times New Roman" w:cs="Arial"/>
          <w:color w:val="000000"/>
          <w:szCs w:val="24"/>
          <w:lang w:eastAsia="en-GB"/>
        </w:rPr>
      </w:pPr>
      <w:r>
        <w:rPr>
          <w:rFonts w:eastAsia="Times New Roman" w:cs="Arial"/>
          <w:color w:val="000000"/>
          <w:szCs w:val="24"/>
          <w:lang w:eastAsia="en-GB"/>
        </w:rPr>
        <w:t>the changes in default HAN Alert settings.  These can, on ESME, be re-configured after installation (to turn off the additional HAN alerting) by the Supplier using existing Use Cases / Service Requests</w:t>
      </w:r>
      <w:r>
        <w:rPr>
          <w:rFonts w:eastAsia="Times New Roman" w:cs="Arial"/>
          <w:b/>
          <w:bCs/>
          <w:color w:val="000000"/>
          <w:szCs w:val="24"/>
          <w:lang w:eastAsia="en-GB"/>
        </w:rPr>
        <w:t xml:space="preserve">.  </w:t>
      </w:r>
      <w:r>
        <w:rPr>
          <w:rFonts w:eastAsia="Times New Roman" w:cs="Arial"/>
          <w:color w:val="000000"/>
          <w:szCs w:val="24"/>
          <w:lang w:eastAsia="en-GB"/>
        </w:rPr>
        <w:t>The additional SAPC HAN alerting may not be configurable by the Supplier (since SAPC are not required to support such HAN alerting configuration), and so it may not be possible to turn off such default SAPC HAN alerting.  However, the volume of such alerts is likely to be low, given that they relate to User Interface commands; and</w:t>
      </w:r>
    </w:p>
    <w:p w14:paraId="0420852A" w14:textId="77777777" w:rsidR="00826292" w:rsidRDefault="005D0E60">
      <w:pPr>
        <w:pStyle w:val="ListParagraph"/>
        <w:numPr>
          <w:ilvl w:val="0"/>
          <w:numId w:val="2"/>
        </w:numPr>
        <w:rPr>
          <w:rFonts w:eastAsia="Times New Roman" w:cs="Arial"/>
          <w:color w:val="000000"/>
          <w:szCs w:val="24"/>
          <w:lang w:eastAsia="en-GB"/>
        </w:rPr>
      </w:pPr>
      <w:r>
        <w:rPr>
          <w:rFonts w:eastAsia="Times New Roman" w:cs="Arial"/>
          <w:color w:val="000000"/>
          <w:szCs w:val="24"/>
          <w:lang w:eastAsia="en-GB"/>
        </w:rPr>
        <w:t>there may be somewhat greater Sub GHz communication volume where either the SAPC / ESME or the requesting Type 1 / 2 Device or both are operating on Sub GHz.  This could lead to greater ‘throttling’ of Sub GHz communication for Sub GHz Devices on the same HAN.</w:t>
      </w:r>
    </w:p>
    <w:p w14:paraId="6EA15B32" w14:textId="77777777" w:rsidR="00826292" w:rsidRDefault="005D0E60">
      <w:pPr>
        <w:rPr>
          <w:rFonts w:eastAsia="Times New Roman" w:cs="Arial"/>
          <w:color w:val="000000"/>
          <w:szCs w:val="24"/>
          <w:lang w:eastAsia="en-GB"/>
        </w:rPr>
      </w:pPr>
      <w:r>
        <w:rPr>
          <w:rFonts w:eastAsia="Times New Roman" w:cs="Arial"/>
          <w:color w:val="000000"/>
          <w:szCs w:val="24"/>
          <w:lang w:eastAsia="en-GB"/>
        </w:rPr>
        <w:t xml:space="preserve">There are no changes required to CH.  The ZigBee commands concerned (Publish Event, </w:t>
      </w:r>
      <w:r>
        <w:t>Get Scheduled Events, Load Control Event</w:t>
      </w:r>
      <w:r>
        <w:rPr>
          <w:rFonts w:eastAsia="Times New Roman" w:cs="Arial"/>
          <w:color w:val="000000"/>
          <w:szCs w:val="24"/>
          <w:lang w:eastAsia="en-GB"/>
        </w:rPr>
        <w:t>) are messages which the CH already has to route, as part of its functioning as a ZigBee router.</w:t>
      </w:r>
    </w:p>
    <w:p w14:paraId="3F347D2F" w14:textId="25E4B88E" w:rsidR="00826292" w:rsidRDefault="005D0E60">
      <w:pPr>
        <w:rPr>
          <w:rFonts w:eastAsia="Times New Roman" w:cs="Arial"/>
          <w:color w:val="000000"/>
          <w:szCs w:val="24"/>
          <w:lang w:eastAsia="en-GB"/>
        </w:rPr>
      </w:pPr>
      <w:r>
        <w:rPr>
          <w:rFonts w:eastAsia="Times New Roman" w:cs="Arial"/>
          <w:color w:val="000000"/>
          <w:szCs w:val="24"/>
          <w:lang w:eastAsia="en-GB"/>
        </w:rPr>
        <w:t>Already installed Type 1 / 2 Devices may receive additional ZigBee messages which they do not have the functionality to process, and so will discard</w:t>
      </w:r>
      <w:r w:rsidRPr="009534F2">
        <w:rPr>
          <w:rFonts w:eastAsia="Times New Roman" w:cs="Arial"/>
          <w:color w:val="000000"/>
          <w:szCs w:val="24"/>
          <w:lang w:eastAsia="en-GB"/>
        </w:rPr>
        <w:t>.</w:t>
      </w:r>
      <w:r>
        <w:rPr>
          <w:rFonts w:eastAsia="Times New Roman" w:cs="Arial"/>
          <w:b/>
          <w:bCs/>
          <w:color w:val="000000"/>
          <w:szCs w:val="24"/>
          <w:lang w:eastAsia="en-GB"/>
        </w:rPr>
        <w:t xml:space="preserve"> </w:t>
      </w:r>
      <w:r>
        <w:rPr>
          <w:rFonts w:eastAsia="Times New Roman" w:cs="Arial"/>
          <w:color w:val="000000"/>
          <w:szCs w:val="24"/>
          <w:lang w:eastAsia="en-GB"/>
        </w:rPr>
        <w:t>Such Devices may also receive ‘Publish Event Commands’ for Alert Codes ‘</w:t>
      </w:r>
      <w:r>
        <w:t>0x8161’ and ‘0x8162’ where some will have payload, and some will not.  Such Devices will discard any which they cannot process.</w:t>
      </w:r>
    </w:p>
    <w:p w14:paraId="5BB33CD4" w14:textId="77777777" w:rsidR="00826292" w:rsidRDefault="00826292">
      <w:pPr>
        <w:rPr>
          <w:b/>
          <w:sz w:val="24"/>
          <w:szCs w:val="24"/>
        </w:rPr>
      </w:pPr>
    </w:p>
    <w:p w14:paraId="0631792B" w14:textId="77777777" w:rsidR="00826292" w:rsidRDefault="005D0E60">
      <w:pPr>
        <w:rPr>
          <w:b/>
          <w:sz w:val="24"/>
          <w:szCs w:val="24"/>
        </w:rPr>
      </w:pPr>
      <w:r>
        <w:rPr>
          <w:b/>
          <w:sz w:val="24"/>
          <w:szCs w:val="24"/>
        </w:rPr>
        <w:t>Required Changes to Documentation:</w:t>
      </w:r>
    </w:p>
    <w:p w14:paraId="33022C88" w14:textId="77777777" w:rsidR="00826292" w:rsidRDefault="005D0E60">
      <w:r>
        <w:t>There are two groups of changes:</w:t>
      </w:r>
    </w:p>
    <w:p w14:paraId="757322F0" w14:textId="77777777" w:rsidR="00826292" w:rsidRDefault="005D0E60">
      <w:pPr>
        <w:pStyle w:val="ListParagraph"/>
        <w:numPr>
          <w:ilvl w:val="0"/>
          <w:numId w:val="5"/>
        </w:numPr>
      </w:pPr>
      <w:r>
        <w:t>One to add the requirements for ESME with APC and SAPC to send HAN Alerts when User Interface Commands are used; and</w:t>
      </w:r>
    </w:p>
    <w:p w14:paraId="5D10409B" w14:textId="77777777" w:rsidR="00826292" w:rsidRDefault="005D0E60">
      <w:pPr>
        <w:pStyle w:val="ListParagraph"/>
        <w:numPr>
          <w:ilvl w:val="0"/>
          <w:numId w:val="5"/>
        </w:numPr>
      </w:pPr>
      <w:r>
        <w:t>The second, to add the requirements for ESME with APC and SAPC to provide Auxiliary Controller related information.</w:t>
      </w:r>
    </w:p>
    <w:p w14:paraId="538B580B" w14:textId="77777777" w:rsidR="00826292" w:rsidRDefault="00826292">
      <w:pPr>
        <w:rPr>
          <w:b/>
          <w:bCs/>
        </w:rPr>
      </w:pPr>
    </w:p>
    <w:p w14:paraId="23BD80C1" w14:textId="77777777" w:rsidR="00826292" w:rsidRDefault="005D0E60">
      <w:pPr>
        <w:rPr>
          <w:b/>
          <w:bCs/>
        </w:rPr>
      </w:pPr>
      <w:r>
        <w:rPr>
          <w:b/>
          <w:bCs/>
        </w:rPr>
        <w:t>To add the requirements for ESME with APC and SAPC to send HAN Alerts when User Interface Commands are used:</w:t>
      </w:r>
    </w:p>
    <w:p w14:paraId="38012F06" w14:textId="77777777" w:rsidR="00826292" w:rsidRDefault="00826292"/>
    <w:p w14:paraId="2075DAE3" w14:textId="7D5C115F" w:rsidR="00826292" w:rsidRDefault="005D0E60">
      <w:pPr>
        <w:pStyle w:val="ListParagraph"/>
        <w:numPr>
          <w:ilvl w:val="0"/>
          <w:numId w:val="3"/>
        </w:numPr>
        <w:tabs>
          <w:tab w:val="clear" w:pos="720"/>
          <w:tab w:val="left" w:pos="360"/>
        </w:tabs>
        <w:ind w:left="360"/>
      </w:pPr>
      <w:r>
        <w:t>In GBCS v4.</w:t>
      </w:r>
      <w:r w:rsidR="009534F2">
        <w:t>n</w:t>
      </w:r>
      <w:r>
        <w:t>, Table 16.2, in the ‘Alert HAN’ column for each of the rows for Event / Alert Codes 0x8161 and 0x8162 (so in cells G82 and G83), change:</w:t>
      </w:r>
    </w:p>
    <w:p w14:paraId="645B0AE8" w14:textId="77777777" w:rsidR="00826292" w:rsidRDefault="005D0E60">
      <w:pPr>
        <w:ind w:left="360" w:firstLine="360"/>
      </w:pPr>
      <w:r>
        <w:t>‘N’</w:t>
      </w:r>
    </w:p>
    <w:p w14:paraId="13BE5B53" w14:textId="77777777" w:rsidR="00826292" w:rsidRDefault="005D0E60">
      <w:r>
        <w:t xml:space="preserve">to </w:t>
      </w:r>
    </w:p>
    <w:p w14:paraId="08C227FE" w14:textId="77777777" w:rsidR="00826292" w:rsidRDefault="005D0E60">
      <w:pPr>
        <w:ind w:firstLine="720"/>
      </w:pPr>
      <w:r>
        <w:t>‘See GBCS Section 16.4’</w:t>
      </w:r>
    </w:p>
    <w:p w14:paraId="1B84EE87" w14:textId="77777777" w:rsidR="00826292" w:rsidRDefault="005D0E60">
      <w:r>
        <w:t>This creates the revised Table 16.2 as embedded in the table below.</w:t>
      </w:r>
    </w:p>
    <w:p w14:paraId="55BF6DCF" w14:textId="77777777" w:rsidR="00826292" w:rsidRDefault="005D0E60">
      <w:pPr>
        <w:spacing w:before="0" w:after="0"/>
      </w:pPr>
      <w:r>
        <w:br w:type="page"/>
      </w:r>
    </w:p>
    <w:p w14:paraId="2BE483F4" w14:textId="1477DB78" w:rsidR="00826292" w:rsidRDefault="005D0E60">
      <w:pPr>
        <w:pStyle w:val="ListParagraph"/>
        <w:numPr>
          <w:ilvl w:val="0"/>
          <w:numId w:val="3"/>
        </w:numPr>
        <w:tabs>
          <w:tab w:val="clear" w:pos="720"/>
          <w:tab w:val="left" w:pos="360"/>
        </w:tabs>
        <w:ind w:left="360"/>
      </w:pPr>
      <w:r>
        <w:lastRenderedPageBreak/>
        <w:t xml:space="preserve">In </w:t>
      </w:r>
      <w:r w:rsidR="009534F2">
        <w:t>GBCS v4.n</w:t>
      </w:r>
      <w:r>
        <w:t xml:space="preserve">, Section 16.4, insert the text as shown in the mark-up below: </w:t>
      </w:r>
    </w:p>
    <w:p w14:paraId="78A6F4BD" w14:textId="77777777" w:rsidR="00826292" w:rsidRDefault="00826292">
      <w:pPr>
        <w:pStyle w:val="ListParagraph"/>
        <w:ind w:left="360"/>
      </w:pPr>
    </w:p>
    <w:p w14:paraId="3807F357" w14:textId="77777777" w:rsidR="00826292" w:rsidRDefault="005D0E60">
      <w:pPr>
        <w:pStyle w:val="ListParagraph"/>
        <w:ind w:left="360"/>
      </w:pPr>
      <w:r>
        <w:rPr>
          <w:noProof/>
        </w:rPr>
        <w:drawing>
          <wp:inline distT="0" distB="0" distL="0" distR="0" wp14:anchorId="267FE34F" wp14:editId="13400B38">
            <wp:extent cx="5760720" cy="735266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1"/>
                    <a:stretch>
                      <a:fillRect/>
                    </a:stretch>
                  </pic:blipFill>
                  <pic:spPr bwMode="auto">
                    <a:xfrm>
                      <a:off x="0" y="0"/>
                      <a:ext cx="5760720" cy="7352665"/>
                    </a:xfrm>
                    <a:prstGeom prst="rect">
                      <a:avLst/>
                    </a:prstGeom>
                  </pic:spPr>
                </pic:pic>
              </a:graphicData>
            </a:graphic>
          </wp:inline>
        </w:drawing>
      </w:r>
    </w:p>
    <w:p w14:paraId="240F340A" w14:textId="77777777" w:rsidR="00826292" w:rsidRDefault="005D0E60">
      <w:pPr>
        <w:rPr>
          <w:i/>
          <w:iCs/>
          <w:sz w:val="20"/>
          <w:szCs w:val="20"/>
        </w:rPr>
      </w:pPr>
      <w:r>
        <w:rPr>
          <w:i/>
          <w:iCs/>
          <w:sz w:val="20"/>
          <w:szCs w:val="20"/>
        </w:rPr>
        <w:t>&lt;run on as is…&gt;</w:t>
      </w:r>
    </w:p>
    <w:p w14:paraId="764C1887" w14:textId="77777777" w:rsidR="00826292" w:rsidRDefault="00826292"/>
    <w:p w14:paraId="6055FC63" w14:textId="7B237A3A" w:rsidR="00826292" w:rsidRDefault="005D0E60">
      <w:pPr>
        <w:pStyle w:val="ListParagraph"/>
        <w:numPr>
          <w:ilvl w:val="0"/>
          <w:numId w:val="3"/>
        </w:numPr>
        <w:tabs>
          <w:tab w:val="clear" w:pos="720"/>
          <w:tab w:val="left" w:pos="360"/>
        </w:tabs>
        <w:ind w:left="360"/>
      </w:pPr>
      <w:r>
        <w:t xml:space="preserve">At </w:t>
      </w:r>
      <w:r w:rsidR="009534F2">
        <w:t>GBCS v4.n,</w:t>
      </w:r>
      <w:r>
        <w:t xml:space="preserve"> Section 21, Glossary, add the definition as follows:</w:t>
      </w:r>
    </w:p>
    <w:p w14:paraId="4F75D675" w14:textId="4E922FC2" w:rsidR="00826292" w:rsidRDefault="009534F2" w:rsidP="009534F2">
      <w:pPr>
        <w:jc w:val="both"/>
      </w:pPr>
      <w:r>
        <w:rPr>
          <w:noProof/>
        </w:rPr>
        <w:drawing>
          <wp:inline distT="0" distB="0" distL="0" distR="0" wp14:anchorId="593F03F6" wp14:editId="66FD2957">
            <wp:extent cx="3384467" cy="516071"/>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21632" cy="536986"/>
                    </a:xfrm>
                    <a:prstGeom prst="rect">
                      <a:avLst/>
                    </a:prstGeom>
                  </pic:spPr>
                </pic:pic>
              </a:graphicData>
            </a:graphic>
          </wp:inline>
        </w:drawing>
      </w:r>
    </w:p>
    <w:p w14:paraId="76B13159" w14:textId="10F1BD2E" w:rsidR="00826292" w:rsidRDefault="005D0E60">
      <w:pPr>
        <w:pStyle w:val="ListParagraph"/>
        <w:numPr>
          <w:ilvl w:val="0"/>
          <w:numId w:val="3"/>
        </w:numPr>
        <w:tabs>
          <w:tab w:val="clear" w:pos="720"/>
          <w:tab w:val="left" w:pos="360"/>
        </w:tabs>
        <w:ind w:left="360"/>
      </w:pPr>
      <w:r>
        <w:lastRenderedPageBreak/>
        <w:t>At ESMETS v5.</w:t>
      </w:r>
      <w:r w:rsidR="009534F2">
        <w:t>n</w:t>
      </w:r>
      <w:r>
        <w:t>, add a new Section at 5.29.2 as shown in the mark-up below:</w:t>
      </w:r>
      <w:r>
        <w:rPr>
          <w:i/>
          <w:iCs/>
          <w:sz w:val="20"/>
          <w:szCs w:val="20"/>
        </w:rPr>
        <w:t xml:space="preserve"> </w:t>
      </w:r>
    </w:p>
    <w:p w14:paraId="06BF244A" w14:textId="77777777" w:rsidR="00826292" w:rsidRDefault="005D0E60">
      <w:r>
        <w:rPr>
          <w:noProof/>
        </w:rPr>
        <w:drawing>
          <wp:inline distT="0" distB="0" distL="0" distR="0" wp14:anchorId="1AFB1BB1" wp14:editId="2E621F8E">
            <wp:extent cx="5760720" cy="99568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3"/>
                    <a:stretch>
                      <a:fillRect/>
                    </a:stretch>
                  </pic:blipFill>
                  <pic:spPr bwMode="auto">
                    <a:xfrm>
                      <a:off x="0" y="0"/>
                      <a:ext cx="5760720" cy="995680"/>
                    </a:xfrm>
                    <a:prstGeom prst="rect">
                      <a:avLst/>
                    </a:prstGeom>
                  </pic:spPr>
                </pic:pic>
              </a:graphicData>
            </a:graphic>
          </wp:inline>
        </w:drawing>
      </w:r>
    </w:p>
    <w:p w14:paraId="6DDFCF38" w14:textId="77777777" w:rsidR="00826292" w:rsidRDefault="005D0E60">
      <w:pPr>
        <w:rPr>
          <w:i/>
          <w:iCs/>
          <w:sz w:val="20"/>
          <w:szCs w:val="20"/>
        </w:rPr>
      </w:pPr>
      <w:r>
        <w:rPr>
          <w:i/>
          <w:iCs/>
          <w:sz w:val="20"/>
          <w:szCs w:val="20"/>
        </w:rPr>
        <w:t>&lt;run on as is…&gt;</w:t>
      </w:r>
    </w:p>
    <w:p w14:paraId="3E1D9B38" w14:textId="77777777" w:rsidR="00826292" w:rsidRDefault="00826292">
      <w:pPr>
        <w:rPr>
          <w:sz w:val="20"/>
          <w:szCs w:val="20"/>
        </w:rPr>
      </w:pPr>
    </w:p>
    <w:p w14:paraId="10D88133" w14:textId="266899F6" w:rsidR="00826292" w:rsidRDefault="005D0E60">
      <w:pPr>
        <w:pStyle w:val="ListParagraph"/>
        <w:numPr>
          <w:ilvl w:val="0"/>
          <w:numId w:val="3"/>
        </w:numPr>
        <w:tabs>
          <w:tab w:val="clear" w:pos="720"/>
          <w:tab w:val="left" w:pos="360"/>
        </w:tabs>
        <w:ind w:left="360"/>
      </w:pPr>
      <w:r>
        <w:t>At SAPCTS v5.</w:t>
      </w:r>
      <w:r w:rsidR="009534F2">
        <w:t>n</w:t>
      </w:r>
      <w:r>
        <w:t>, add a new Section at 9.5.4 as shown in the mark-up below:</w:t>
      </w:r>
    </w:p>
    <w:p w14:paraId="5CE12A70" w14:textId="77777777" w:rsidR="00826292" w:rsidRDefault="005D0E60">
      <w:r>
        <w:rPr>
          <w:noProof/>
        </w:rPr>
        <w:drawing>
          <wp:inline distT="0" distB="0" distL="0" distR="0" wp14:anchorId="056164A7" wp14:editId="045F1AE3">
            <wp:extent cx="5760720" cy="967740"/>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noChangeArrowheads="1"/>
                    </pic:cNvPicPr>
                  </pic:nvPicPr>
                  <pic:blipFill>
                    <a:blip r:embed="rId14"/>
                    <a:stretch>
                      <a:fillRect/>
                    </a:stretch>
                  </pic:blipFill>
                  <pic:spPr bwMode="auto">
                    <a:xfrm>
                      <a:off x="0" y="0"/>
                      <a:ext cx="5760720" cy="967740"/>
                    </a:xfrm>
                    <a:prstGeom prst="rect">
                      <a:avLst/>
                    </a:prstGeom>
                  </pic:spPr>
                </pic:pic>
              </a:graphicData>
            </a:graphic>
          </wp:inline>
        </w:drawing>
      </w:r>
    </w:p>
    <w:p w14:paraId="4525EB45" w14:textId="77777777" w:rsidR="00826292" w:rsidRDefault="005D0E60">
      <w:pPr>
        <w:rPr>
          <w:i/>
          <w:iCs/>
          <w:sz w:val="20"/>
          <w:szCs w:val="20"/>
        </w:rPr>
      </w:pPr>
      <w:r>
        <w:rPr>
          <w:i/>
          <w:iCs/>
          <w:sz w:val="20"/>
          <w:szCs w:val="20"/>
        </w:rPr>
        <w:t>&lt;run on as is…&gt;</w:t>
      </w:r>
    </w:p>
    <w:p w14:paraId="5ABF9513" w14:textId="77777777" w:rsidR="00826292" w:rsidRDefault="00826292">
      <w:pPr>
        <w:spacing w:before="0" w:after="0"/>
      </w:pPr>
    </w:p>
    <w:p w14:paraId="02C6E009" w14:textId="77777777" w:rsidR="00826292" w:rsidRDefault="005D0E60">
      <w:pPr>
        <w:rPr>
          <w:b/>
          <w:bCs/>
        </w:rPr>
      </w:pPr>
      <w:r>
        <w:rPr>
          <w:b/>
          <w:bCs/>
        </w:rPr>
        <w:t>To add the requirements for ESME with APC and SAPC to provide Auxiliary Controller related information:</w:t>
      </w:r>
    </w:p>
    <w:p w14:paraId="228D5C7D" w14:textId="77777777" w:rsidR="00826292" w:rsidRDefault="00826292"/>
    <w:p w14:paraId="2421E920" w14:textId="77777777" w:rsidR="00826292" w:rsidRDefault="005D0E60">
      <w:pPr>
        <w:pStyle w:val="ListParagraph"/>
        <w:numPr>
          <w:ilvl w:val="0"/>
          <w:numId w:val="3"/>
        </w:numPr>
        <w:tabs>
          <w:tab w:val="clear" w:pos="720"/>
          <w:tab w:val="left" w:pos="360"/>
        </w:tabs>
        <w:ind w:left="360"/>
      </w:pPr>
      <w:r>
        <w:t>At ESMETS v5.n, add the new Sections at 5.30 as shown in the mark-up below:</w:t>
      </w:r>
    </w:p>
    <w:p w14:paraId="43F94691" w14:textId="0FA4D001" w:rsidR="00826292" w:rsidRDefault="009A5693">
      <w:r w:rsidRPr="009A5693">
        <w:rPr>
          <w:noProof/>
        </w:rPr>
        <w:t xml:space="preserve"> </w:t>
      </w:r>
      <w:r>
        <w:rPr>
          <w:noProof/>
        </w:rPr>
        <w:drawing>
          <wp:inline distT="0" distB="0" distL="0" distR="0" wp14:anchorId="518C443E" wp14:editId="48543C3E">
            <wp:extent cx="5760720" cy="2464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464435"/>
                    </a:xfrm>
                    <a:prstGeom prst="rect">
                      <a:avLst/>
                    </a:prstGeom>
                  </pic:spPr>
                </pic:pic>
              </a:graphicData>
            </a:graphic>
          </wp:inline>
        </w:drawing>
      </w:r>
    </w:p>
    <w:p w14:paraId="4D150FA0" w14:textId="77777777" w:rsidR="00826292" w:rsidRDefault="005D0E60">
      <w:pPr>
        <w:rPr>
          <w:i/>
          <w:iCs/>
          <w:sz w:val="20"/>
          <w:szCs w:val="20"/>
        </w:rPr>
      </w:pPr>
      <w:r>
        <w:rPr>
          <w:i/>
          <w:iCs/>
          <w:sz w:val="20"/>
          <w:szCs w:val="20"/>
        </w:rPr>
        <w:t>&lt;run on as is…&gt;</w:t>
      </w:r>
    </w:p>
    <w:p w14:paraId="3C055CFE" w14:textId="77777777" w:rsidR="00826292" w:rsidRDefault="005D0E60">
      <w:pPr>
        <w:spacing w:before="0" w:after="0"/>
      </w:pPr>
      <w:r>
        <w:br w:type="page"/>
      </w:r>
    </w:p>
    <w:p w14:paraId="34CD5D62" w14:textId="57769A35" w:rsidR="00826292" w:rsidRDefault="005D0E60">
      <w:pPr>
        <w:pStyle w:val="ListParagraph"/>
        <w:numPr>
          <w:ilvl w:val="0"/>
          <w:numId w:val="3"/>
        </w:numPr>
        <w:tabs>
          <w:tab w:val="clear" w:pos="720"/>
          <w:tab w:val="left" w:pos="360"/>
        </w:tabs>
        <w:ind w:left="360"/>
      </w:pPr>
      <w:r>
        <w:lastRenderedPageBreak/>
        <w:t xml:space="preserve">Add the following new Section to </w:t>
      </w:r>
      <w:r w:rsidR="009534F2">
        <w:t>GBCS v4.n</w:t>
      </w:r>
      <w:r>
        <w:t>:</w:t>
      </w:r>
    </w:p>
    <w:p w14:paraId="45843BAA" w14:textId="5A06A72D" w:rsidR="00826292" w:rsidRDefault="00A96484">
      <w:r>
        <w:rPr>
          <w:noProof/>
        </w:rPr>
        <w:drawing>
          <wp:inline distT="0" distB="0" distL="0" distR="0" wp14:anchorId="5BCA24FC" wp14:editId="1EB27F7D">
            <wp:extent cx="4613155" cy="19297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28689" cy="1978069"/>
                    </a:xfrm>
                    <a:prstGeom prst="rect">
                      <a:avLst/>
                    </a:prstGeom>
                  </pic:spPr>
                </pic:pic>
              </a:graphicData>
            </a:graphic>
          </wp:inline>
        </w:drawing>
      </w:r>
    </w:p>
    <w:p w14:paraId="4C485FA9" w14:textId="069F27C6" w:rsidR="00A96484" w:rsidRDefault="00A96484">
      <w:r>
        <w:rPr>
          <w:noProof/>
        </w:rPr>
        <w:drawing>
          <wp:inline distT="0" distB="0" distL="0" distR="0" wp14:anchorId="22C587DC" wp14:editId="3AA43EB6">
            <wp:extent cx="4622670" cy="6917377"/>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50046" cy="6958343"/>
                    </a:xfrm>
                    <a:prstGeom prst="rect">
                      <a:avLst/>
                    </a:prstGeom>
                  </pic:spPr>
                </pic:pic>
              </a:graphicData>
            </a:graphic>
          </wp:inline>
        </w:drawing>
      </w:r>
    </w:p>
    <w:p w14:paraId="2FE9CFCA" w14:textId="79176D8B" w:rsidR="00A96484" w:rsidRDefault="00961B9F">
      <w:pPr>
        <w:spacing w:before="0" w:after="0"/>
      </w:pPr>
      <w:r>
        <w:rPr>
          <w:noProof/>
        </w:rPr>
        <w:lastRenderedPageBreak/>
        <w:drawing>
          <wp:inline distT="0" distB="0" distL="0" distR="0" wp14:anchorId="12D253DA" wp14:editId="30EB027B">
            <wp:extent cx="5241979" cy="79106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48723" cy="7920801"/>
                    </a:xfrm>
                    <a:prstGeom prst="rect">
                      <a:avLst/>
                    </a:prstGeom>
                  </pic:spPr>
                </pic:pic>
              </a:graphicData>
            </a:graphic>
          </wp:inline>
        </w:drawing>
      </w:r>
    </w:p>
    <w:p w14:paraId="3F88A0EF" w14:textId="6C1655E3" w:rsidR="00A96484" w:rsidRDefault="00A96484">
      <w:pPr>
        <w:spacing w:before="0" w:after="0"/>
      </w:pPr>
      <w:r>
        <w:br w:type="page"/>
      </w:r>
    </w:p>
    <w:p w14:paraId="79C39E4A" w14:textId="787ECCAA" w:rsidR="00A96484" w:rsidRDefault="00A96484">
      <w:r>
        <w:rPr>
          <w:noProof/>
        </w:rPr>
        <w:lastRenderedPageBreak/>
        <w:drawing>
          <wp:inline distT="0" distB="0" distL="0" distR="0" wp14:anchorId="337E7FEF" wp14:editId="16FEB623">
            <wp:extent cx="5229225" cy="79438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29225" cy="7943850"/>
                    </a:xfrm>
                    <a:prstGeom prst="rect">
                      <a:avLst/>
                    </a:prstGeom>
                  </pic:spPr>
                </pic:pic>
              </a:graphicData>
            </a:graphic>
          </wp:inline>
        </w:drawing>
      </w:r>
    </w:p>
    <w:p w14:paraId="5214745B" w14:textId="6C6739C4" w:rsidR="00A96484" w:rsidRDefault="00A96484"/>
    <w:p w14:paraId="4F2005A5" w14:textId="77777777" w:rsidR="00A96484" w:rsidRDefault="00A96484">
      <w:pPr>
        <w:spacing w:before="0" w:after="0"/>
      </w:pPr>
      <w:r>
        <w:br w:type="page"/>
      </w:r>
    </w:p>
    <w:p w14:paraId="441172A0" w14:textId="4790DCE4" w:rsidR="00A96484" w:rsidRDefault="00A96484">
      <w:r>
        <w:rPr>
          <w:noProof/>
        </w:rPr>
        <w:lastRenderedPageBreak/>
        <w:drawing>
          <wp:inline distT="0" distB="0" distL="0" distR="0" wp14:anchorId="1B770187" wp14:editId="3F8264B2">
            <wp:extent cx="5200650" cy="6057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00650" cy="6057900"/>
                    </a:xfrm>
                    <a:prstGeom prst="rect">
                      <a:avLst/>
                    </a:prstGeom>
                  </pic:spPr>
                </pic:pic>
              </a:graphicData>
            </a:graphic>
          </wp:inline>
        </w:drawing>
      </w:r>
    </w:p>
    <w:p w14:paraId="140C39F4" w14:textId="44512543" w:rsidR="00826292" w:rsidRDefault="005D0E60">
      <w:pPr>
        <w:rPr>
          <w:i/>
          <w:iCs/>
          <w:sz w:val="20"/>
          <w:szCs w:val="20"/>
        </w:rPr>
      </w:pPr>
      <w:r>
        <w:rPr>
          <w:i/>
          <w:iCs/>
          <w:sz w:val="20"/>
          <w:szCs w:val="20"/>
        </w:rPr>
        <w:t>&lt;run on as is…&gt;</w:t>
      </w:r>
    </w:p>
    <w:p w14:paraId="780F5BB2" w14:textId="24E1F703" w:rsidR="00A96484" w:rsidRDefault="00A96484">
      <w:pPr>
        <w:spacing w:before="0" w:after="0"/>
        <w:rPr>
          <w:sz w:val="20"/>
          <w:szCs w:val="20"/>
        </w:rPr>
      </w:pPr>
      <w:r>
        <w:rPr>
          <w:sz w:val="20"/>
          <w:szCs w:val="20"/>
        </w:rPr>
        <w:br w:type="page"/>
      </w:r>
    </w:p>
    <w:p w14:paraId="0BCE04A3" w14:textId="77777777" w:rsidR="00A96484" w:rsidRPr="00A96484" w:rsidRDefault="00A96484">
      <w:pPr>
        <w:rPr>
          <w:sz w:val="20"/>
          <w:szCs w:val="20"/>
        </w:rPr>
      </w:pPr>
    </w:p>
    <w:p w14:paraId="18BF4E6C" w14:textId="22E5A7D8" w:rsidR="00826292" w:rsidRDefault="005D0E60">
      <w:pPr>
        <w:pStyle w:val="ListParagraph"/>
        <w:numPr>
          <w:ilvl w:val="0"/>
          <w:numId w:val="3"/>
        </w:numPr>
        <w:tabs>
          <w:tab w:val="clear" w:pos="720"/>
          <w:tab w:val="left" w:pos="360"/>
        </w:tabs>
        <w:ind w:left="360"/>
      </w:pPr>
      <w:r>
        <w:t xml:space="preserve">In </w:t>
      </w:r>
      <w:r w:rsidR="009534F2">
        <w:t>GBCS v4.n</w:t>
      </w:r>
      <w:r>
        <w:t xml:space="preserve">, Table 7.4, append the words </w:t>
      </w:r>
      <w:proofErr w:type="gramStart"/>
      <w:r>
        <w:t>‘ and</w:t>
      </w:r>
      <w:proofErr w:type="gramEnd"/>
      <w:r>
        <w:t xml:space="preserve"> GBCS 18.1.2’ to the existing text in each of the following cells:</w:t>
      </w:r>
    </w:p>
    <w:p w14:paraId="7E3055DB" w14:textId="77777777" w:rsidR="00826292" w:rsidRDefault="00826292">
      <w:pPr>
        <w:pStyle w:val="ListParagraph"/>
        <w:ind w:left="360"/>
      </w:pPr>
    </w:p>
    <w:p w14:paraId="1F5A9D7C" w14:textId="77777777" w:rsidR="00826292" w:rsidRDefault="005D0E60">
      <w:pPr>
        <w:pStyle w:val="ListParagraph"/>
        <w:ind w:left="360"/>
      </w:pPr>
      <w:r>
        <w:t>H46 and I46;</w:t>
      </w:r>
    </w:p>
    <w:p w14:paraId="72585950" w14:textId="77777777" w:rsidR="00826292" w:rsidRDefault="005D0E60">
      <w:pPr>
        <w:pStyle w:val="ListParagraph"/>
        <w:ind w:left="360"/>
      </w:pPr>
      <w:r>
        <w:t>H47 and I47;</w:t>
      </w:r>
    </w:p>
    <w:p w14:paraId="426745E7" w14:textId="77777777" w:rsidR="00826292" w:rsidRDefault="005D0E60">
      <w:pPr>
        <w:pStyle w:val="ListParagraph"/>
        <w:ind w:left="360"/>
      </w:pPr>
      <w:r>
        <w:t>H160 and I160;</w:t>
      </w:r>
    </w:p>
    <w:p w14:paraId="0EF181DE" w14:textId="77777777" w:rsidR="00826292" w:rsidRDefault="005D0E60">
      <w:pPr>
        <w:pStyle w:val="ListParagraph"/>
        <w:ind w:left="360"/>
      </w:pPr>
      <w:r>
        <w:t>H161 and I161;</w:t>
      </w:r>
    </w:p>
    <w:p w14:paraId="620FD80B" w14:textId="77777777" w:rsidR="00826292" w:rsidRDefault="005D0E60">
      <w:pPr>
        <w:pStyle w:val="ListParagraph"/>
        <w:ind w:left="360"/>
      </w:pPr>
      <w:r>
        <w:t>H552 and I552; and</w:t>
      </w:r>
    </w:p>
    <w:p w14:paraId="14E01942" w14:textId="77777777" w:rsidR="00826292" w:rsidRDefault="005D0E60">
      <w:pPr>
        <w:pStyle w:val="ListParagraph"/>
        <w:ind w:left="360"/>
      </w:pPr>
      <w:r>
        <w:t>H553 and I553.</w:t>
      </w:r>
    </w:p>
    <w:p w14:paraId="7435A4BB" w14:textId="77777777" w:rsidR="00826292" w:rsidRDefault="00826292">
      <w:pPr>
        <w:pStyle w:val="ListParagraph"/>
        <w:ind w:left="360"/>
      </w:pPr>
    </w:p>
    <w:p w14:paraId="48FD9D22" w14:textId="5F64D37F" w:rsidR="00826292" w:rsidRDefault="005D0E60">
      <w:r>
        <w:t>This will result in the modified GBCS</w:t>
      </w:r>
      <w:r w:rsidR="009534F2">
        <w:t>,</w:t>
      </w:r>
      <w:r>
        <w:t xml:space="preserve"> Table 7.4 embedded at the table below.</w:t>
      </w:r>
    </w:p>
    <w:p w14:paraId="4481FD4A" w14:textId="77777777" w:rsidR="00826292" w:rsidRDefault="00826292">
      <w:pPr>
        <w:pStyle w:val="ListParagraph"/>
        <w:ind w:left="360"/>
      </w:pPr>
    </w:p>
    <w:tbl>
      <w:tblPr>
        <w:tblStyle w:val="TableGrid"/>
        <w:tblW w:w="9242" w:type="dxa"/>
        <w:tblLayout w:type="fixed"/>
        <w:tblCellMar>
          <w:top w:w="85" w:type="dxa"/>
          <w:bottom w:w="85" w:type="dxa"/>
        </w:tblCellMar>
        <w:tblLook w:val="04A0" w:firstRow="1" w:lastRow="0" w:firstColumn="1" w:lastColumn="0" w:noHBand="0" w:noVBand="1"/>
      </w:tblPr>
      <w:tblGrid>
        <w:gridCol w:w="3936"/>
        <w:gridCol w:w="5306"/>
      </w:tblGrid>
      <w:tr w:rsidR="00826292" w14:paraId="6AB1313B" w14:textId="77777777">
        <w:tc>
          <w:tcPr>
            <w:tcW w:w="3936" w:type="dxa"/>
          </w:tcPr>
          <w:p w14:paraId="49DED4DA" w14:textId="77777777" w:rsidR="00826292" w:rsidRDefault="005D0E60">
            <w:pPr>
              <w:pStyle w:val="NoSpacing"/>
              <w:rPr>
                <w:b/>
              </w:rPr>
            </w:pPr>
            <w:r>
              <w:rPr>
                <w:rFonts w:eastAsia="Calibri"/>
                <w:b/>
              </w:rPr>
              <w:t>TS version for incorporation</w:t>
            </w:r>
          </w:p>
        </w:tc>
        <w:tc>
          <w:tcPr>
            <w:tcW w:w="5305" w:type="dxa"/>
          </w:tcPr>
          <w:p w14:paraId="0498884A" w14:textId="0FF3419C" w:rsidR="00826292" w:rsidRDefault="009534F2">
            <w:pPr>
              <w:pStyle w:val="NoSpacing"/>
              <w:rPr>
                <w:iCs/>
              </w:rPr>
            </w:pPr>
            <w:r w:rsidRPr="00173D33">
              <w:rPr>
                <w:rFonts w:eastAsia="Calibri"/>
                <w:iCs/>
                <w:highlight w:val="yellow"/>
              </w:rPr>
              <w:t>GBCS 4.n, ESMETS v5.n &amp; SAPCTS v5.n -</w:t>
            </w:r>
            <w:r>
              <w:rPr>
                <w:rFonts w:eastAsia="Calibri"/>
                <w:iCs/>
              </w:rPr>
              <w:t xml:space="preserve"> </w:t>
            </w:r>
            <w:r w:rsidR="005D0E60">
              <w:rPr>
                <w:rFonts w:eastAsia="Calibri"/>
                <w:iCs/>
              </w:rPr>
              <w:t>TBC</w:t>
            </w:r>
          </w:p>
        </w:tc>
      </w:tr>
      <w:tr w:rsidR="00826292" w14:paraId="7B56645A" w14:textId="77777777">
        <w:tc>
          <w:tcPr>
            <w:tcW w:w="3936" w:type="dxa"/>
          </w:tcPr>
          <w:p w14:paraId="2ABAA709" w14:textId="77777777" w:rsidR="00826292" w:rsidRDefault="005D0E60">
            <w:pPr>
              <w:pStyle w:val="NoSpacing"/>
              <w:rPr>
                <w:b/>
              </w:rPr>
            </w:pPr>
            <w:r>
              <w:rPr>
                <w:rFonts w:eastAsia="Calibri"/>
                <w:b/>
              </w:rPr>
              <w:t>Impact on previous RPs</w:t>
            </w:r>
          </w:p>
        </w:tc>
        <w:tc>
          <w:tcPr>
            <w:tcW w:w="5305" w:type="dxa"/>
          </w:tcPr>
          <w:p w14:paraId="55A6CEBF" w14:textId="77777777" w:rsidR="00826292" w:rsidRDefault="005D0E60">
            <w:pPr>
              <w:pStyle w:val="NoSpacing"/>
              <w:rPr>
                <w:iCs/>
              </w:rPr>
            </w:pPr>
            <w:r>
              <w:rPr>
                <w:rFonts w:eastAsia="Calibri"/>
                <w:iCs/>
              </w:rPr>
              <w:t xml:space="preserve">None </w:t>
            </w:r>
          </w:p>
        </w:tc>
      </w:tr>
      <w:tr w:rsidR="00826292" w14:paraId="0F3DE35C" w14:textId="77777777">
        <w:tc>
          <w:tcPr>
            <w:tcW w:w="3936" w:type="dxa"/>
          </w:tcPr>
          <w:p w14:paraId="3C54D146" w14:textId="77777777" w:rsidR="00826292" w:rsidRDefault="005D0E60">
            <w:pPr>
              <w:pStyle w:val="NoSpacing"/>
              <w:rPr>
                <w:b/>
              </w:rPr>
            </w:pPr>
            <w:r>
              <w:rPr>
                <w:rFonts w:eastAsia="Calibri"/>
                <w:b/>
              </w:rPr>
              <w:t>Attachment(s)</w:t>
            </w:r>
          </w:p>
        </w:tc>
        <w:tc>
          <w:tcPr>
            <w:tcW w:w="5305" w:type="dxa"/>
          </w:tcPr>
          <w:p w14:paraId="1CED3895" w14:textId="49B3891B" w:rsidR="00826292" w:rsidRDefault="005B065C">
            <w:pPr>
              <w:pStyle w:val="NoSpacing"/>
              <w:rPr>
                <w:iCs/>
              </w:rPr>
            </w:pPr>
            <w:r>
              <w:rPr>
                <w:rFonts w:eastAsia="Calibri"/>
              </w:rPr>
              <w:object w:dxaOrig="1546" w:dyaOrig="1001" w14:anchorId="135E3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o:preferrelative="f" filled="t">
                  <v:imagedata r:id="rId21" o:title=""/>
                  <o:lock v:ext="edit" aspectratio="f"/>
                </v:shape>
                <o:OLEObject Type="Embed" ProgID="AcroExch.Document.DC" ShapeID="_x0000_i1025" DrawAspect="Icon" ObjectID="_1705213400" r:id="rId22"/>
              </w:object>
            </w:r>
          </w:p>
          <w:p w14:paraId="53A070EA" w14:textId="77777777" w:rsidR="00826292" w:rsidRDefault="005D0E60">
            <w:pPr>
              <w:pStyle w:val="NoSpacing"/>
              <w:rPr>
                <w:iCs/>
              </w:rPr>
            </w:pPr>
            <w:r>
              <w:rPr>
                <w:rFonts w:eastAsia="Calibri"/>
                <w:iCs/>
              </w:rPr>
              <w:t>Notes on this embedded pdf:</w:t>
            </w:r>
          </w:p>
          <w:p w14:paraId="4D18911B" w14:textId="77777777" w:rsidR="00826292" w:rsidRDefault="005D0E60">
            <w:pPr>
              <w:pStyle w:val="NoSpacing"/>
              <w:numPr>
                <w:ilvl w:val="0"/>
                <w:numId w:val="4"/>
              </w:numPr>
              <w:rPr>
                <w:iCs/>
              </w:rPr>
            </w:pPr>
            <w:r>
              <w:rPr>
                <w:rFonts w:eastAsia="Calibri"/>
                <w:iCs/>
              </w:rPr>
              <w:t>The document refers to a ‘ZSE Get Load Control’ command from the DRLC Client.  There appears to be no such command.  This CRP630 assumes the ‘Get Scheduled Events’ command is intended.</w:t>
            </w:r>
          </w:p>
          <w:p w14:paraId="42839951" w14:textId="77777777" w:rsidR="00826292" w:rsidRDefault="005D0E60">
            <w:pPr>
              <w:pStyle w:val="NoSpacing"/>
              <w:numPr>
                <w:ilvl w:val="0"/>
                <w:numId w:val="4"/>
              </w:numPr>
              <w:rPr>
                <w:iCs/>
              </w:rPr>
            </w:pPr>
            <w:r>
              <w:rPr>
                <w:rFonts w:eastAsia="Calibri"/>
                <w:iCs/>
              </w:rPr>
              <w:t>The document does not detail the value to be used where current state is caused by SMETS specified default behaviour.  This has been added as value ‘0x0D’ in the CRP630 drafting.</w:t>
            </w:r>
          </w:p>
          <w:p w14:paraId="4D9D9077" w14:textId="77777777" w:rsidR="00826292" w:rsidRDefault="005D0E60">
            <w:pPr>
              <w:pStyle w:val="NoSpacing"/>
              <w:numPr>
                <w:ilvl w:val="0"/>
                <w:numId w:val="4"/>
              </w:numPr>
              <w:rPr>
                <w:iCs/>
              </w:rPr>
            </w:pPr>
            <w:r>
              <w:rPr>
                <w:rFonts w:eastAsia="Calibri"/>
                <w:iCs/>
              </w:rPr>
              <w:t>The document suggests that bits ‘1-10’ are populated for APC[n] by setting bits ‘2n+1’ and ‘2n+2’.  However, as per SMETS, ‘n’ is between ‘1’ and ‘5’ so ‘2n+1’ and ‘2n+2’ would use bits ‘3-12’.  Therefore, this CRP630 uses ‘2n-1’ and ‘2n’, to align to bits ‘1-10’.</w:t>
            </w:r>
          </w:p>
          <w:p w14:paraId="30BC0F7B" w14:textId="77777777" w:rsidR="00826292" w:rsidRDefault="00826292">
            <w:pPr>
              <w:pStyle w:val="NoSpacing"/>
              <w:ind w:left="360"/>
              <w:rPr>
                <w:iCs/>
              </w:rPr>
            </w:pPr>
          </w:p>
          <w:p w14:paraId="39AAAAE4" w14:textId="15983448" w:rsidR="00826292" w:rsidRDefault="00E87B4F">
            <w:pPr>
              <w:pStyle w:val="NoSpacing"/>
              <w:rPr>
                <w:rFonts w:eastAsia="Calibri"/>
                <w:iCs/>
              </w:rPr>
            </w:pPr>
            <w:r>
              <w:object w:dxaOrig="1546" w:dyaOrig="1001" w14:anchorId="218FE8D3">
                <v:shape id="_x0000_i1026" type="#_x0000_t75" style="width:77.25pt;height:50.25pt" o:ole="" o:preferrelative="f" filled="t">
                  <v:imagedata r:id="rId23" o:title=""/>
                  <o:lock v:ext="edit" aspectratio="f"/>
                </v:shape>
                <o:OLEObject Type="Embed" ProgID="Excel.Sheet.12" ShapeID="_x0000_i1026" DrawAspect="Icon" ObjectID="_1705213401" r:id="rId24"/>
              </w:object>
            </w:r>
          </w:p>
          <w:p w14:paraId="636AB20F" w14:textId="5BF2CC6F" w:rsidR="00826292" w:rsidRDefault="007127A2">
            <w:pPr>
              <w:pStyle w:val="NoSpacing"/>
              <w:rPr>
                <w:iCs/>
              </w:rPr>
            </w:pPr>
            <w:r>
              <w:rPr>
                <w:rFonts w:eastAsia="Calibri"/>
              </w:rPr>
              <w:object w:dxaOrig="1546" w:dyaOrig="1001" w14:anchorId="28E3AEF6">
                <v:shape id="_x0000_i1027" type="#_x0000_t75" style="width:77.25pt;height:50.25pt" o:ole="" o:preferrelative="f" filled="t">
                  <v:imagedata r:id="rId25" o:title=""/>
                  <o:lock v:ext="edit" aspectratio="f"/>
                </v:shape>
                <o:OLEObject Type="Embed" ProgID="Excel.Sheet.12" ShapeID="_x0000_i1027" DrawAspect="Icon" ObjectID="_1705213402" r:id="rId26"/>
              </w:object>
            </w:r>
          </w:p>
        </w:tc>
      </w:tr>
      <w:tr w:rsidR="00826292" w14:paraId="5487F2D4" w14:textId="77777777">
        <w:trPr>
          <w:trHeight w:val="485"/>
        </w:trPr>
        <w:tc>
          <w:tcPr>
            <w:tcW w:w="3936" w:type="dxa"/>
          </w:tcPr>
          <w:p w14:paraId="54480834" w14:textId="77777777" w:rsidR="00826292" w:rsidRDefault="005D0E60">
            <w:pPr>
              <w:pStyle w:val="NoSpacing"/>
              <w:rPr>
                <w:b/>
              </w:rPr>
            </w:pPr>
            <w:r>
              <w:rPr>
                <w:rFonts w:eastAsia="Calibri"/>
                <w:b/>
              </w:rPr>
              <w:t>Affected Parties</w:t>
            </w:r>
          </w:p>
        </w:tc>
        <w:tc>
          <w:tcPr>
            <w:tcW w:w="5305" w:type="dxa"/>
          </w:tcPr>
          <w:p w14:paraId="6A6F8D2D" w14:textId="77777777" w:rsidR="00826292" w:rsidRDefault="005D0E60">
            <w:pPr>
              <w:rPr>
                <w:rFonts w:eastAsia="Times New Roman" w:cs="Arial"/>
                <w:color w:val="000000"/>
                <w:szCs w:val="24"/>
                <w:lang w:eastAsia="en-GB"/>
              </w:rPr>
            </w:pPr>
            <w:r>
              <w:t xml:space="preserve">Applies to </w:t>
            </w:r>
            <w:r>
              <w:rPr>
                <w:rFonts w:eastAsia="Times New Roman" w:cs="Arial"/>
                <w:color w:val="000000"/>
                <w:szCs w:val="24"/>
                <w:lang w:eastAsia="en-GB"/>
              </w:rPr>
              <w:t>newly installed Devices only.  Suppliers may wish to note the points made at ‘Interoperability and / or Compatibility’ earlier.</w:t>
            </w:r>
          </w:p>
        </w:tc>
      </w:tr>
    </w:tbl>
    <w:p w14:paraId="7E7B960A" w14:textId="77777777" w:rsidR="00826292" w:rsidRDefault="00826292"/>
    <w:sectPr w:rsidR="00826292">
      <w:footerReference w:type="default" r:id="rId27"/>
      <w:pgSz w:w="11906" w:h="16838"/>
      <w:pgMar w:top="1276" w:right="1416" w:bottom="765" w:left="1418" w:header="708"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DBA9B" w14:textId="77777777" w:rsidR="00A549D2" w:rsidRDefault="00A549D2">
      <w:pPr>
        <w:spacing w:before="0" w:after="0"/>
      </w:pPr>
      <w:r>
        <w:separator/>
      </w:r>
    </w:p>
  </w:endnote>
  <w:endnote w:type="continuationSeparator" w:id="0">
    <w:p w14:paraId="6CE28F25" w14:textId="77777777" w:rsidR="00A549D2" w:rsidRDefault="00A549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29D8" w14:textId="77777777" w:rsidR="00826292" w:rsidRDefault="005D0E60">
    <w:pPr>
      <w:pStyle w:val="Footer"/>
    </w:pPr>
    <w:r>
      <w:tab/>
    </w:r>
    <w:r>
      <w:fldChar w:fldCharType="begin"/>
    </w:r>
    <w:r>
      <w:instrText>PAGE</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0E019" w14:textId="77777777" w:rsidR="00A549D2" w:rsidRDefault="00A549D2">
      <w:pPr>
        <w:spacing w:before="0" w:after="0"/>
      </w:pPr>
      <w:r>
        <w:separator/>
      </w:r>
    </w:p>
  </w:footnote>
  <w:footnote w:type="continuationSeparator" w:id="0">
    <w:p w14:paraId="24E39A4A" w14:textId="77777777" w:rsidR="00A549D2" w:rsidRDefault="00A549D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507E"/>
    <w:multiLevelType w:val="multilevel"/>
    <w:tmpl w:val="4FCA8410"/>
    <w:lvl w:ilvl="0">
      <w:start w:val="18"/>
      <w:numFmt w:val="bullet"/>
      <w:lvlText w:val="-"/>
      <w:lvlJc w:val="left"/>
      <w:pPr>
        <w:tabs>
          <w:tab w:val="num" w:pos="0"/>
        </w:tabs>
        <w:ind w:left="360" w:hanging="360"/>
      </w:pPr>
      <w:rPr>
        <w:rFonts w:ascii="Arial" w:hAnsi="Arial" w:cs="Aria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 w15:restartNumberingAfterBreak="0">
    <w:nsid w:val="5BD374C6"/>
    <w:multiLevelType w:val="multilevel"/>
    <w:tmpl w:val="59B87B8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720"/>
        </w:tabs>
        <w:ind w:left="1080" w:hanging="360"/>
      </w:pPr>
      <w:rPr>
        <w:rFonts w:ascii="Courier New" w:hAnsi="Courier New" w:cs="Courier New" w:hint="default"/>
      </w:rPr>
    </w:lvl>
    <w:lvl w:ilvl="2">
      <w:start w:val="1"/>
      <w:numFmt w:val="bullet"/>
      <w:lvlText w:val=""/>
      <w:lvlJc w:val="left"/>
      <w:pPr>
        <w:tabs>
          <w:tab w:val="num" w:pos="1080"/>
        </w:tabs>
        <w:ind w:left="1800" w:hanging="360"/>
      </w:pPr>
      <w:rPr>
        <w:rFonts w:ascii="Wingdings" w:hAnsi="Wingdings" w:cs="Wingdings" w:hint="default"/>
      </w:rPr>
    </w:lvl>
    <w:lvl w:ilvl="3">
      <w:start w:val="1"/>
      <w:numFmt w:val="bullet"/>
      <w:lvlText w:val=""/>
      <w:lvlJc w:val="left"/>
      <w:pPr>
        <w:tabs>
          <w:tab w:val="num" w:pos="1440"/>
        </w:tabs>
        <w:ind w:left="2520" w:hanging="360"/>
      </w:pPr>
      <w:rPr>
        <w:rFonts w:ascii="Symbol" w:hAnsi="Symbol" w:cs="Symbol" w:hint="default"/>
      </w:rPr>
    </w:lvl>
    <w:lvl w:ilvl="4">
      <w:start w:val="1"/>
      <w:numFmt w:val="bullet"/>
      <w:lvlText w:val="o"/>
      <w:lvlJc w:val="left"/>
      <w:pPr>
        <w:tabs>
          <w:tab w:val="num" w:pos="1800"/>
        </w:tabs>
        <w:ind w:left="3240" w:hanging="360"/>
      </w:pPr>
      <w:rPr>
        <w:rFonts w:ascii="Courier New" w:hAnsi="Courier New" w:cs="Courier New" w:hint="default"/>
      </w:rPr>
    </w:lvl>
    <w:lvl w:ilvl="5">
      <w:start w:val="1"/>
      <w:numFmt w:val="bullet"/>
      <w:lvlText w:val=""/>
      <w:lvlJc w:val="left"/>
      <w:pPr>
        <w:tabs>
          <w:tab w:val="num" w:pos="2160"/>
        </w:tabs>
        <w:ind w:left="3960" w:hanging="360"/>
      </w:pPr>
      <w:rPr>
        <w:rFonts w:ascii="Wingdings" w:hAnsi="Wingdings" w:cs="Wingdings" w:hint="default"/>
      </w:rPr>
    </w:lvl>
    <w:lvl w:ilvl="6">
      <w:start w:val="1"/>
      <w:numFmt w:val="bullet"/>
      <w:lvlText w:val=""/>
      <w:lvlJc w:val="left"/>
      <w:pPr>
        <w:tabs>
          <w:tab w:val="num" w:pos="2520"/>
        </w:tabs>
        <w:ind w:left="4680" w:hanging="360"/>
      </w:pPr>
      <w:rPr>
        <w:rFonts w:ascii="Symbol" w:hAnsi="Symbol" w:cs="Symbol" w:hint="default"/>
      </w:rPr>
    </w:lvl>
    <w:lvl w:ilvl="7">
      <w:start w:val="1"/>
      <w:numFmt w:val="bullet"/>
      <w:lvlText w:val="o"/>
      <w:lvlJc w:val="left"/>
      <w:pPr>
        <w:tabs>
          <w:tab w:val="num" w:pos="2880"/>
        </w:tabs>
        <w:ind w:left="5400" w:hanging="360"/>
      </w:pPr>
      <w:rPr>
        <w:rFonts w:ascii="Courier New" w:hAnsi="Courier New" w:cs="Courier New" w:hint="default"/>
      </w:rPr>
    </w:lvl>
    <w:lvl w:ilvl="8">
      <w:start w:val="1"/>
      <w:numFmt w:val="bullet"/>
      <w:lvlText w:val=""/>
      <w:lvlJc w:val="left"/>
      <w:pPr>
        <w:tabs>
          <w:tab w:val="num" w:pos="3240"/>
        </w:tabs>
        <w:ind w:left="6120" w:hanging="360"/>
      </w:pPr>
      <w:rPr>
        <w:rFonts w:ascii="Wingdings" w:hAnsi="Wingdings" w:cs="Wingdings" w:hint="default"/>
      </w:rPr>
    </w:lvl>
  </w:abstractNum>
  <w:abstractNum w:abstractNumId="2" w15:restartNumberingAfterBreak="0">
    <w:nsid w:val="63922597"/>
    <w:multiLevelType w:val="multilevel"/>
    <w:tmpl w:val="7B7A7562"/>
    <w:lvl w:ilvl="0">
      <w:start w:val="16"/>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1432"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4699"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3" w15:restartNumberingAfterBreak="0">
    <w:nsid w:val="68A018BB"/>
    <w:multiLevelType w:val="multilevel"/>
    <w:tmpl w:val="0062EB66"/>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4" w15:restartNumberingAfterBreak="0">
    <w:nsid w:val="7E3C1CEA"/>
    <w:multiLevelType w:val="multilevel"/>
    <w:tmpl w:val="E8EA150A"/>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autoHyphenation/>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292"/>
    <w:rsid w:val="00173D33"/>
    <w:rsid w:val="001B5125"/>
    <w:rsid w:val="001F2C5A"/>
    <w:rsid w:val="002039B7"/>
    <w:rsid w:val="0021052F"/>
    <w:rsid w:val="002351C6"/>
    <w:rsid w:val="00291B22"/>
    <w:rsid w:val="0030236A"/>
    <w:rsid w:val="00325BCB"/>
    <w:rsid w:val="00382FE4"/>
    <w:rsid w:val="0039475B"/>
    <w:rsid w:val="003F2D09"/>
    <w:rsid w:val="00422881"/>
    <w:rsid w:val="005254D0"/>
    <w:rsid w:val="005B065C"/>
    <w:rsid w:val="005D0E60"/>
    <w:rsid w:val="00642C65"/>
    <w:rsid w:val="00677953"/>
    <w:rsid w:val="006A6D20"/>
    <w:rsid w:val="006B72F5"/>
    <w:rsid w:val="007127A2"/>
    <w:rsid w:val="0073303D"/>
    <w:rsid w:val="008078D1"/>
    <w:rsid w:val="00816266"/>
    <w:rsid w:val="00826292"/>
    <w:rsid w:val="00866244"/>
    <w:rsid w:val="00892D98"/>
    <w:rsid w:val="008E1F5F"/>
    <w:rsid w:val="008F5228"/>
    <w:rsid w:val="008F5E02"/>
    <w:rsid w:val="009534F2"/>
    <w:rsid w:val="00961B9F"/>
    <w:rsid w:val="009A5693"/>
    <w:rsid w:val="00A03410"/>
    <w:rsid w:val="00A549D2"/>
    <w:rsid w:val="00A54A93"/>
    <w:rsid w:val="00A96484"/>
    <w:rsid w:val="00B04AC1"/>
    <w:rsid w:val="00B63567"/>
    <w:rsid w:val="00BD4421"/>
    <w:rsid w:val="00C20CA7"/>
    <w:rsid w:val="00C51F8D"/>
    <w:rsid w:val="00C776FA"/>
    <w:rsid w:val="00D32F21"/>
    <w:rsid w:val="00DF2712"/>
    <w:rsid w:val="00DF3403"/>
    <w:rsid w:val="00E1191C"/>
    <w:rsid w:val="00E8139E"/>
    <w:rsid w:val="00E87B4F"/>
    <w:rsid w:val="00EC3A54"/>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0793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basedOn w:val="Normal"/>
    <w:link w:val="ListParagraphChar"/>
    <w:uiPriority w:val="34"/>
    <w:qFormat/>
    <w:rsid w:val="00D80986"/>
    <w:pPr>
      <w:ind w:left="720"/>
      <w:contextualSpacing/>
    </w:pPr>
  </w:style>
  <w:style w:type="paragraph" w:styleId="ListBullet">
    <w:name w:val="List Bullet"/>
    <w:basedOn w:val="Normal"/>
    <w:unhideWhenUsed/>
    <w:qFormat/>
    <w:rsid w:val="000067E6"/>
    <w:pPr>
      <w:spacing w:before="0" w:after="0"/>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AF11CA"/>
    <w:pPr>
      <w:spacing w:before="120" w:after="240"/>
    </w:pPr>
    <w:rPr>
      <w:bCs/>
    </w:rPr>
  </w:style>
  <w:style w:type="paragraph" w:customStyle="1" w:styleId="FrameContents">
    <w:name w:val="Frame Contents"/>
    <w:basedOn w:val="Normal"/>
    <w:qFormat/>
  </w:style>
  <w:style w:type="paragraph" w:customStyle="1" w:styleId="GlHead">
    <w:name w:val="GlHead"/>
    <w:basedOn w:val="Normal"/>
    <w:next w:val="Normal"/>
    <w:autoRedefine/>
    <w:qFormat/>
    <w:rsid w:val="007255BF"/>
    <w:pPr>
      <w:keepNext/>
      <w:suppressAutoHyphens w:val="0"/>
    </w:pPr>
    <w:rPr>
      <w:rFonts w:cs="Arial"/>
      <w:color w:val="009EE3"/>
      <w:szCs w:val="24"/>
    </w:rPr>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package" Target="embeddings/Microsoft_Excel_Worksheet1.xlsx"/><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Excel_Worksheet.xlsx"/><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4C6B5-A022-4385-9978-05D2B62E47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F01CC6-B36D-4016-9D98-311D9046BFE7}">
  <ds:schemaRefs>
    <ds:schemaRef ds:uri="http://schemas.microsoft.com/sharepoint/v3/contenttype/forms"/>
  </ds:schemaRefs>
</ds:datastoreItem>
</file>

<file path=customXml/itemProps3.xml><?xml version="1.0" encoding="utf-8"?>
<ds:datastoreItem xmlns:ds="http://schemas.openxmlformats.org/officeDocument/2006/customXml" ds:itemID="{C1EC4F20-77E8-437D-B0D7-C1E98324F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151BA-0893-42EB-B770-7131F7A53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2021-02-10T10:28:00Z</dcterms:created>
  <dcterms:modified xsi:type="dcterms:W3CDTF">2022-02-01T09:37:00Z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2020-10-22T13:19:18Z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72e7d630-a38e-44c2-951f-0000402b02a3</vt:lpwstr>
  </property>
  <property fmtid="{D5CDD505-2E9C-101B-9397-08002B2CF9AE}" pid="8" name="MSIP_Label_ba62f585-b40f-4ab9-bafe-39150f03d124_ContentBits">
    <vt:lpwstr>0</vt:lpwstr>
  </property>
  <property fmtid="{D5CDD505-2E9C-101B-9397-08002B2CF9AE}" pid="9" name="ContentTypeId">
    <vt:lpwstr>0x01010073366D072EF7CE499869A57962EEDEF5</vt:lpwstr>
  </property>
  <property fmtid="{D5CDD505-2E9C-101B-9397-08002B2CF9AE}" pid="10" name="Business Unit">
    <vt:lpwstr>1;#Smart Metering Implementation Programme|bb7732ef-da62-4d24-b6f9-71b10bcc1ea2</vt:lpwstr>
  </property>
  <property fmtid="{D5CDD505-2E9C-101B-9397-08002B2CF9AE}" pid="11" name="_dlc_DocIdItemGuid">
    <vt:lpwstr>9e45e047-d801-4b8d-8102-c79d33fdcf33</vt:lpwstr>
  </property>
</Properties>
</file>